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BEA2" w14:textId="77777777" w:rsidR="003F18F6" w:rsidRDefault="003F18F6" w:rsidP="003F18F6">
      <w:pPr>
        <w:rPr>
          <w:b/>
          <w:bCs/>
          <w:lang w:val="es-ES"/>
        </w:rPr>
      </w:pPr>
    </w:p>
    <w:tbl>
      <w:tblPr>
        <w:tblStyle w:val="TableGrid"/>
        <w:tblW w:w="0" w:type="auto"/>
        <w:tblLook w:val="04A0" w:firstRow="1" w:lastRow="0" w:firstColumn="1" w:lastColumn="0" w:noHBand="0" w:noVBand="1"/>
      </w:tblPr>
      <w:tblGrid>
        <w:gridCol w:w="3256"/>
        <w:gridCol w:w="6804"/>
      </w:tblGrid>
      <w:tr w:rsidR="003F18F6" w14:paraId="543C7AB9" w14:textId="77777777" w:rsidTr="00A315DE">
        <w:tc>
          <w:tcPr>
            <w:tcW w:w="3256" w:type="dxa"/>
            <w:shd w:val="clear" w:color="auto" w:fill="D9D9D9" w:themeFill="background1" w:themeFillShade="D9"/>
            <w:vAlign w:val="center"/>
          </w:tcPr>
          <w:p w14:paraId="6CA5EF26" w14:textId="2F81DEF8" w:rsidR="003F18F6" w:rsidRDefault="003F18F6" w:rsidP="00A315DE">
            <w:pPr>
              <w:rPr>
                <w:b/>
                <w:bCs/>
                <w:lang w:val="es-ES"/>
              </w:rPr>
            </w:pPr>
            <w:r>
              <w:rPr>
                <w:b/>
                <w:bCs/>
                <w:lang w:val="es-ES"/>
              </w:rPr>
              <w:t>Project title and acronym</w:t>
            </w:r>
          </w:p>
        </w:tc>
        <w:tc>
          <w:tcPr>
            <w:tcW w:w="6804" w:type="dxa"/>
            <w:vAlign w:val="center"/>
          </w:tcPr>
          <w:p w14:paraId="34D46BE8" w14:textId="3B1F93FC" w:rsidR="003F18F6" w:rsidRPr="003F18F6" w:rsidRDefault="003F18F6" w:rsidP="00A315DE">
            <w:pPr>
              <w:rPr>
                <w:lang w:val="es-ES"/>
              </w:rPr>
            </w:pPr>
          </w:p>
        </w:tc>
      </w:tr>
      <w:tr w:rsidR="003F18F6" w:rsidRPr="003F18F6" w14:paraId="5DE76B55" w14:textId="77777777" w:rsidTr="00A315DE">
        <w:tc>
          <w:tcPr>
            <w:tcW w:w="3256" w:type="dxa"/>
            <w:shd w:val="clear" w:color="auto" w:fill="D9D9D9" w:themeFill="background1" w:themeFillShade="D9"/>
            <w:vAlign w:val="center"/>
          </w:tcPr>
          <w:p w14:paraId="03530234" w14:textId="7A9780AF" w:rsidR="003F18F6" w:rsidRPr="003F18F6" w:rsidRDefault="003F18F6" w:rsidP="00A315DE">
            <w:pPr>
              <w:rPr>
                <w:b/>
                <w:bCs/>
              </w:rPr>
            </w:pPr>
            <w:r w:rsidRPr="003F18F6">
              <w:rPr>
                <w:b/>
                <w:bCs/>
              </w:rPr>
              <w:t xml:space="preserve">Project duration </w:t>
            </w:r>
            <w:r>
              <w:rPr>
                <w:b/>
                <w:bCs/>
              </w:rPr>
              <w:t xml:space="preserve">in </w:t>
            </w:r>
            <w:r w:rsidRPr="003F18F6">
              <w:rPr>
                <w:b/>
                <w:bCs/>
              </w:rPr>
              <w:t>months</w:t>
            </w:r>
          </w:p>
        </w:tc>
        <w:tc>
          <w:tcPr>
            <w:tcW w:w="6804" w:type="dxa"/>
            <w:vAlign w:val="center"/>
          </w:tcPr>
          <w:p w14:paraId="228831B3" w14:textId="77777777" w:rsidR="003F18F6" w:rsidRPr="003F18F6" w:rsidRDefault="003F18F6" w:rsidP="00A315DE"/>
        </w:tc>
      </w:tr>
      <w:tr w:rsidR="003F18F6" w:rsidRPr="003F18F6" w14:paraId="6D1D188D" w14:textId="77777777" w:rsidTr="00A315DE">
        <w:tc>
          <w:tcPr>
            <w:tcW w:w="3256" w:type="dxa"/>
            <w:shd w:val="clear" w:color="auto" w:fill="D9D9D9" w:themeFill="background1" w:themeFillShade="D9"/>
            <w:vAlign w:val="center"/>
          </w:tcPr>
          <w:p w14:paraId="22C8B79F" w14:textId="07EBF6AD" w:rsidR="003F18F6" w:rsidRPr="003F18F6" w:rsidRDefault="002F0D40" w:rsidP="00A315DE">
            <w:pPr>
              <w:rPr>
                <w:b/>
                <w:bCs/>
              </w:rPr>
            </w:pPr>
            <w:r>
              <w:rPr>
                <w:b/>
                <w:bCs/>
              </w:rPr>
              <w:t>Project start date</w:t>
            </w:r>
          </w:p>
        </w:tc>
        <w:tc>
          <w:tcPr>
            <w:tcW w:w="6804" w:type="dxa"/>
            <w:vAlign w:val="center"/>
          </w:tcPr>
          <w:p w14:paraId="09390FBA" w14:textId="77777777" w:rsidR="003F18F6" w:rsidRPr="003F18F6" w:rsidRDefault="003F18F6" w:rsidP="00A315DE"/>
        </w:tc>
      </w:tr>
      <w:tr w:rsidR="002F0D40" w:rsidRPr="003F18F6" w14:paraId="4BA79AE0" w14:textId="77777777" w:rsidTr="00A315DE">
        <w:tc>
          <w:tcPr>
            <w:tcW w:w="3256" w:type="dxa"/>
            <w:shd w:val="clear" w:color="auto" w:fill="D9D9D9" w:themeFill="background1" w:themeFillShade="D9"/>
            <w:vAlign w:val="center"/>
          </w:tcPr>
          <w:p w14:paraId="39F0B215" w14:textId="0C5A05FA" w:rsidR="002F0D40" w:rsidRDefault="002F0D40" w:rsidP="00A315DE">
            <w:pPr>
              <w:rPr>
                <w:b/>
                <w:bCs/>
              </w:rPr>
            </w:pPr>
            <w:r w:rsidRPr="002F0D40">
              <w:rPr>
                <w:b/>
                <w:bCs/>
              </w:rPr>
              <w:t xml:space="preserve">Funding </w:t>
            </w:r>
            <w:r>
              <w:rPr>
                <w:b/>
                <w:bCs/>
              </w:rPr>
              <w:t>a</w:t>
            </w:r>
            <w:r w:rsidRPr="002F0D40">
              <w:rPr>
                <w:b/>
                <w:bCs/>
              </w:rPr>
              <w:t xml:space="preserve">mount </w:t>
            </w:r>
            <w:r>
              <w:rPr>
                <w:b/>
                <w:bCs/>
              </w:rPr>
              <w:t>a</w:t>
            </w:r>
            <w:r w:rsidRPr="002F0D40">
              <w:rPr>
                <w:b/>
                <w:bCs/>
              </w:rPr>
              <w:t>pproved</w:t>
            </w:r>
          </w:p>
        </w:tc>
        <w:tc>
          <w:tcPr>
            <w:tcW w:w="6804" w:type="dxa"/>
            <w:vAlign w:val="center"/>
          </w:tcPr>
          <w:p w14:paraId="61EC91F0" w14:textId="77777777" w:rsidR="002F0D40" w:rsidRPr="003F18F6" w:rsidRDefault="002F0D40" w:rsidP="00A315DE"/>
        </w:tc>
      </w:tr>
      <w:tr w:rsidR="003F18F6" w:rsidRPr="003F18F6" w14:paraId="1B7E4209" w14:textId="77777777" w:rsidTr="00A315DE">
        <w:tc>
          <w:tcPr>
            <w:tcW w:w="3256" w:type="dxa"/>
            <w:shd w:val="clear" w:color="auto" w:fill="D9D9D9" w:themeFill="background1" w:themeFillShade="D9"/>
            <w:vAlign w:val="center"/>
          </w:tcPr>
          <w:p w14:paraId="120D7B6A" w14:textId="423D3D85" w:rsidR="003F18F6" w:rsidRPr="003F18F6" w:rsidRDefault="003F18F6" w:rsidP="00A315DE">
            <w:pPr>
              <w:rPr>
                <w:b/>
                <w:bCs/>
              </w:rPr>
            </w:pPr>
            <w:r>
              <w:rPr>
                <w:b/>
                <w:bCs/>
              </w:rPr>
              <w:t>Applicant data</w:t>
            </w:r>
            <w:r>
              <w:rPr>
                <w:rStyle w:val="FootnoteReference"/>
                <w:b/>
                <w:bCs/>
              </w:rPr>
              <w:footnoteReference w:id="1"/>
            </w:r>
          </w:p>
        </w:tc>
        <w:tc>
          <w:tcPr>
            <w:tcW w:w="6804" w:type="dxa"/>
            <w:vAlign w:val="center"/>
          </w:tcPr>
          <w:p w14:paraId="2A445BB0" w14:textId="77777777" w:rsidR="003F18F6" w:rsidRPr="003F18F6" w:rsidRDefault="003F18F6" w:rsidP="00A315DE"/>
        </w:tc>
      </w:tr>
      <w:tr w:rsidR="00B53373" w:rsidRPr="003F18F6" w14:paraId="2638A672" w14:textId="77777777" w:rsidTr="00A315DE">
        <w:tc>
          <w:tcPr>
            <w:tcW w:w="3256" w:type="dxa"/>
            <w:shd w:val="clear" w:color="auto" w:fill="D9D9D9" w:themeFill="background1" w:themeFillShade="D9"/>
            <w:vAlign w:val="center"/>
          </w:tcPr>
          <w:p w14:paraId="1436D03A" w14:textId="71186111" w:rsidR="00B53373" w:rsidRDefault="00B53373" w:rsidP="00A315DE">
            <w:pPr>
              <w:rPr>
                <w:b/>
                <w:bCs/>
              </w:rPr>
            </w:pPr>
            <w:r>
              <w:rPr>
                <w:b/>
                <w:bCs/>
              </w:rPr>
              <w:t>Applicant email</w:t>
            </w:r>
          </w:p>
        </w:tc>
        <w:tc>
          <w:tcPr>
            <w:tcW w:w="6804" w:type="dxa"/>
            <w:vAlign w:val="center"/>
          </w:tcPr>
          <w:p w14:paraId="15DEFA65" w14:textId="77777777" w:rsidR="00B53373" w:rsidRPr="003F18F6" w:rsidRDefault="00B53373" w:rsidP="00A315DE"/>
        </w:tc>
      </w:tr>
      <w:tr w:rsidR="003F18F6" w:rsidRPr="003F18F6" w14:paraId="0D0B0E51" w14:textId="77777777" w:rsidTr="00A315DE">
        <w:tc>
          <w:tcPr>
            <w:tcW w:w="3256" w:type="dxa"/>
            <w:shd w:val="clear" w:color="auto" w:fill="D9D9D9" w:themeFill="background1" w:themeFillShade="D9"/>
            <w:vAlign w:val="center"/>
          </w:tcPr>
          <w:p w14:paraId="793E7C95" w14:textId="37B70934" w:rsidR="003F18F6" w:rsidRDefault="00B53373" w:rsidP="00A315DE">
            <w:pPr>
              <w:rPr>
                <w:b/>
                <w:bCs/>
              </w:rPr>
            </w:pPr>
            <w:r>
              <w:rPr>
                <w:b/>
                <w:bCs/>
              </w:rPr>
              <w:t>Applicant r</w:t>
            </w:r>
            <w:r w:rsidR="003F18F6">
              <w:rPr>
                <w:b/>
                <w:bCs/>
              </w:rPr>
              <w:t>esearch group</w:t>
            </w:r>
          </w:p>
        </w:tc>
        <w:tc>
          <w:tcPr>
            <w:tcW w:w="6804" w:type="dxa"/>
            <w:vAlign w:val="center"/>
          </w:tcPr>
          <w:p w14:paraId="6D3E608E" w14:textId="77777777" w:rsidR="003F18F6" w:rsidRPr="003F18F6" w:rsidRDefault="003F18F6" w:rsidP="00A315DE"/>
        </w:tc>
      </w:tr>
    </w:tbl>
    <w:p w14:paraId="52012BCD" w14:textId="77777777" w:rsidR="003F18F6" w:rsidRDefault="003F18F6" w:rsidP="003F18F6">
      <w:pPr>
        <w:rPr>
          <w:b/>
          <w:bCs/>
        </w:rPr>
      </w:pPr>
    </w:p>
    <w:p w14:paraId="600013C6" w14:textId="77777777" w:rsidR="000E7A2B" w:rsidRDefault="002F0D40" w:rsidP="002F0D40">
      <w:pPr>
        <w:jc w:val="both"/>
      </w:pPr>
      <w:r w:rsidRPr="002F0D40">
        <w:t xml:space="preserve">By signing </w:t>
      </w:r>
      <w:r>
        <w:t>below</w:t>
      </w:r>
      <w:r w:rsidRPr="002F0D40">
        <w:t xml:space="preserve">, the </w:t>
      </w:r>
      <w:r>
        <w:t>A</w:t>
      </w:r>
      <w:r w:rsidRPr="002F0D40">
        <w:t>pplicant</w:t>
      </w:r>
      <w:r w:rsidR="000E7A2B">
        <w:t>:</w:t>
      </w:r>
    </w:p>
    <w:p w14:paraId="3D50C944" w14:textId="77777777" w:rsidR="000E7A2B" w:rsidRDefault="000E7A2B" w:rsidP="002F0D40">
      <w:pPr>
        <w:pStyle w:val="ListParagraph"/>
        <w:numPr>
          <w:ilvl w:val="0"/>
          <w:numId w:val="19"/>
        </w:numPr>
        <w:jc w:val="both"/>
      </w:pPr>
      <w:r>
        <w:t>A</w:t>
      </w:r>
      <w:r w:rsidR="002F0D40" w:rsidRPr="002F0D40">
        <w:t>gree</w:t>
      </w:r>
      <w:r w:rsidR="002F0D40">
        <w:t>s</w:t>
      </w:r>
      <w:r w:rsidR="002F0D40" w:rsidRPr="002F0D40">
        <w:t xml:space="preserve"> to </w:t>
      </w:r>
      <w:r w:rsidR="002F0D40">
        <w:t xml:space="preserve">execute the project above according to the IMDEA Materials Institute </w:t>
      </w:r>
      <w:r w:rsidR="002F0D40" w:rsidRPr="002F0D40">
        <w:t xml:space="preserve">proof-of-concept (PoC) </w:t>
      </w:r>
      <w:r w:rsidR="002F0D40">
        <w:t>call 2025</w:t>
      </w:r>
      <w:r w:rsidR="00DC6EB3">
        <w:t xml:space="preserve"> (“Materialise 2025”)</w:t>
      </w:r>
      <w:r w:rsidR="002F0D40">
        <w:t xml:space="preserve"> </w:t>
      </w:r>
      <w:r w:rsidR="001B74B9">
        <w:t xml:space="preserve">and the proposal submitted to this call, </w:t>
      </w:r>
      <w:r w:rsidR="00F839A5">
        <w:t xml:space="preserve">both </w:t>
      </w:r>
      <w:r w:rsidR="002F0D40">
        <w:t xml:space="preserve">attached </w:t>
      </w:r>
      <w:r w:rsidR="001B74B9">
        <w:t xml:space="preserve">as </w:t>
      </w:r>
      <w:r w:rsidR="002F0D40">
        <w:t>annexe</w:t>
      </w:r>
      <w:r w:rsidR="001B74B9">
        <w:t>s</w:t>
      </w:r>
      <w:r w:rsidR="002F0D40">
        <w:t>.</w:t>
      </w:r>
    </w:p>
    <w:p w14:paraId="2CF6EE7A" w14:textId="3A5D1CDF" w:rsidR="002F0D40" w:rsidRDefault="000E7A2B" w:rsidP="002F0D40">
      <w:pPr>
        <w:pStyle w:val="ListParagraph"/>
        <w:numPr>
          <w:ilvl w:val="0"/>
          <w:numId w:val="19"/>
        </w:numPr>
        <w:jc w:val="both"/>
      </w:pPr>
      <w:r>
        <w:t>D</w:t>
      </w:r>
      <w:r w:rsidR="002F0D40">
        <w:t>eclare</w:t>
      </w:r>
      <w:r w:rsidR="00F839A5">
        <w:t>s</w:t>
      </w:r>
      <w:r w:rsidR="002F0D40">
        <w:t xml:space="preserve"> that </w:t>
      </w:r>
      <w:r w:rsidRPr="000E7A2B">
        <w:t xml:space="preserve">neither </w:t>
      </w:r>
      <w:r>
        <w:t>they</w:t>
      </w:r>
      <w:r w:rsidRPr="000E7A2B">
        <w:t xml:space="preserve"> nor </w:t>
      </w:r>
      <w:r>
        <w:t>their</w:t>
      </w:r>
      <w:r w:rsidRPr="000E7A2B">
        <w:t xml:space="preserve"> research group are receiving funding for the same activities</w:t>
      </w:r>
      <w:r w:rsidR="002F0D40">
        <w:t>.</w:t>
      </w:r>
    </w:p>
    <w:tbl>
      <w:tblPr>
        <w:tblStyle w:val="TableGrid"/>
        <w:tblW w:w="0" w:type="auto"/>
        <w:tblLook w:val="04A0" w:firstRow="1" w:lastRow="0" w:firstColumn="1" w:lastColumn="0" w:noHBand="0" w:noVBand="1"/>
      </w:tblPr>
      <w:tblGrid>
        <w:gridCol w:w="5035"/>
      </w:tblGrid>
      <w:tr w:rsidR="002F0D40" w14:paraId="10CA623B" w14:textId="77777777" w:rsidTr="002F0D40">
        <w:tc>
          <w:tcPr>
            <w:tcW w:w="5035" w:type="dxa"/>
          </w:tcPr>
          <w:p w14:paraId="78C26B21" w14:textId="2C8AECFA" w:rsidR="002F0D40" w:rsidRDefault="002F0D40" w:rsidP="002F0D40">
            <w:pPr>
              <w:jc w:val="both"/>
            </w:pPr>
            <w:bookmarkStart w:id="0" w:name="_Hlk186723862"/>
            <w:r w:rsidRPr="002F0D40">
              <w:rPr>
                <w:highlight w:val="yellow"/>
              </w:rPr>
              <w:t>Applicant data</w:t>
            </w:r>
            <w:r w:rsidR="00D13ADB">
              <w:rPr>
                <w:highlight w:val="yellow"/>
              </w:rPr>
              <w:t xml:space="preserve">, </w:t>
            </w:r>
            <w:r w:rsidRPr="002F0D40">
              <w:rPr>
                <w:highlight w:val="yellow"/>
              </w:rPr>
              <w:t xml:space="preserve">signature </w:t>
            </w:r>
            <w:r w:rsidR="00D13ADB">
              <w:rPr>
                <w:highlight w:val="yellow"/>
              </w:rPr>
              <w:t xml:space="preserve">and date </w:t>
            </w:r>
            <w:r w:rsidRPr="002F0D40">
              <w:rPr>
                <w:highlight w:val="yellow"/>
              </w:rPr>
              <w:t>here</w:t>
            </w:r>
          </w:p>
          <w:p w14:paraId="0A8FB420" w14:textId="367035B3" w:rsidR="002F0D40" w:rsidRDefault="002F0D40" w:rsidP="002F0D40">
            <w:pPr>
              <w:jc w:val="both"/>
            </w:pPr>
          </w:p>
          <w:p w14:paraId="202F6A3D" w14:textId="22B39E15" w:rsidR="002F0D40" w:rsidRDefault="002F0D40" w:rsidP="002F0D40">
            <w:pPr>
              <w:jc w:val="both"/>
            </w:pPr>
          </w:p>
        </w:tc>
      </w:tr>
      <w:bookmarkEnd w:id="0"/>
    </w:tbl>
    <w:p w14:paraId="75D585CE" w14:textId="77777777" w:rsidR="002F0D40" w:rsidRDefault="002F0D40" w:rsidP="002F0D40">
      <w:pPr>
        <w:jc w:val="both"/>
      </w:pPr>
    </w:p>
    <w:p w14:paraId="302ED216" w14:textId="5383AA3F" w:rsidR="002F0D40" w:rsidRDefault="000E7A2B" w:rsidP="002F0D40">
      <w:pPr>
        <w:jc w:val="both"/>
      </w:pPr>
      <w:r w:rsidRPr="002F0D40">
        <w:t xml:space="preserve">By signing </w:t>
      </w:r>
      <w:r>
        <w:t>below</w:t>
      </w:r>
      <w:r w:rsidRPr="002F0D40">
        <w:t>,</w:t>
      </w:r>
      <w:r>
        <w:t xml:space="preserve"> t</w:t>
      </w:r>
      <w:r w:rsidR="002F0D40" w:rsidRPr="002F0D40">
        <w:t xml:space="preserve">he </w:t>
      </w:r>
      <w:r w:rsidR="002F0D40">
        <w:t>Principal Investigator</w:t>
      </w:r>
      <w:r w:rsidR="002F0D40" w:rsidRPr="002F0D40">
        <w:t xml:space="preserve"> of the research group to which </w:t>
      </w:r>
      <w:r w:rsidR="002F0D40">
        <w:t xml:space="preserve">the Applicant belongs </w:t>
      </w:r>
      <w:r w:rsidR="002F0D40" w:rsidRPr="002F0D40">
        <w:t>approv</w:t>
      </w:r>
      <w:r w:rsidR="002F0D40">
        <w:t>es their participation in the abovementioned project</w:t>
      </w:r>
      <w:r w:rsidR="004853A2">
        <w:rPr>
          <w:rStyle w:val="FootnoteReference"/>
        </w:rPr>
        <w:footnoteReference w:id="2"/>
      </w:r>
      <w:r w:rsidR="002F0D40">
        <w:t>.</w:t>
      </w:r>
    </w:p>
    <w:tbl>
      <w:tblPr>
        <w:tblStyle w:val="TableGrid"/>
        <w:tblW w:w="0" w:type="auto"/>
        <w:tblLook w:val="04A0" w:firstRow="1" w:lastRow="0" w:firstColumn="1" w:lastColumn="0" w:noHBand="0" w:noVBand="1"/>
      </w:tblPr>
      <w:tblGrid>
        <w:gridCol w:w="5035"/>
      </w:tblGrid>
      <w:tr w:rsidR="002F0D40" w14:paraId="7E51241C" w14:textId="77777777" w:rsidTr="003611BC">
        <w:tc>
          <w:tcPr>
            <w:tcW w:w="5035" w:type="dxa"/>
          </w:tcPr>
          <w:p w14:paraId="01BB9BB9" w14:textId="2F4D2CED" w:rsidR="002F0D40" w:rsidRDefault="002F0D40" w:rsidP="003611BC">
            <w:pPr>
              <w:jc w:val="both"/>
            </w:pPr>
            <w:r w:rsidRPr="002F0D40">
              <w:rPr>
                <w:highlight w:val="yellow"/>
              </w:rPr>
              <w:t>PI data</w:t>
            </w:r>
            <w:r w:rsidR="00D13ADB">
              <w:rPr>
                <w:highlight w:val="yellow"/>
              </w:rPr>
              <w:t>,</w:t>
            </w:r>
            <w:r w:rsidRPr="002F0D40">
              <w:rPr>
                <w:highlight w:val="yellow"/>
              </w:rPr>
              <w:t xml:space="preserve"> signature </w:t>
            </w:r>
            <w:r w:rsidR="00D13ADB">
              <w:rPr>
                <w:highlight w:val="yellow"/>
              </w:rPr>
              <w:t xml:space="preserve">and date </w:t>
            </w:r>
            <w:r w:rsidRPr="002F0D40">
              <w:rPr>
                <w:highlight w:val="yellow"/>
              </w:rPr>
              <w:t>here if needed</w:t>
            </w:r>
          </w:p>
          <w:p w14:paraId="1551C773" w14:textId="77777777" w:rsidR="002F0D40" w:rsidRDefault="002F0D40" w:rsidP="003611BC">
            <w:pPr>
              <w:jc w:val="both"/>
            </w:pPr>
          </w:p>
          <w:p w14:paraId="7D5D45F1" w14:textId="77777777" w:rsidR="002F0D40" w:rsidRDefault="002F0D40" w:rsidP="003611BC">
            <w:pPr>
              <w:jc w:val="both"/>
            </w:pPr>
          </w:p>
        </w:tc>
      </w:tr>
    </w:tbl>
    <w:p w14:paraId="7F3BEFA1" w14:textId="77777777" w:rsidR="002F0D40" w:rsidRDefault="002F0D40" w:rsidP="002F0D40">
      <w:pPr>
        <w:jc w:val="both"/>
      </w:pPr>
    </w:p>
    <w:p w14:paraId="28B6FA4A" w14:textId="1158ABAE" w:rsidR="00CD1C44" w:rsidRDefault="00CD1C44" w:rsidP="002F0D40">
      <w:pPr>
        <w:jc w:val="both"/>
      </w:pPr>
      <w:r>
        <w:br w:type="page"/>
      </w:r>
    </w:p>
    <w:p w14:paraId="11BEEDEF" w14:textId="77777777" w:rsidR="00CD1C44" w:rsidRDefault="00CD1C44" w:rsidP="002F0D40">
      <w:pPr>
        <w:jc w:val="both"/>
      </w:pPr>
    </w:p>
    <w:p w14:paraId="64DB5408" w14:textId="43490D4D" w:rsidR="00CD1C44" w:rsidRPr="006446A8" w:rsidRDefault="00CD1C44" w:rsidP="00CD1C44">
      <w:pPr>
        <w:jc w:val="center"/>
        <w:rPr>
          <w:b/>
          <w:bCs/>
        </w:rPr>
      </w:pPr>
      <w:r w:rsidRPr="006446A8">
        <w:rPr>
          <w:b/>
          <w:bCs/>
        </w:rPr>
        <w:t>Annexe</w:t>
      </w:r>
      <w:r w:rsidR="001B74B9" w:rsidRPr="006446A8">
        <w:rPr>
          <w:b/>
          <w:bCs/>
        </w:rPr>
        <w:t xml:space="preserve"> I</w:t>
      </w:r>
      <w:r w:rsidRPr="006446A8">
        <w:rPr>
          <w:b/>
          <w:bCs/>
        </w:rPr>
        <w:t>: IMDEA Materials Institute proof-of-concept (PoC) call 2025</w:t>
      </w:r>
    </w:p>
    <w:p w14:paraId="4C2A3FA3" w14:textId="77777777" w:rsidR="00182CC4" w:rsidRPr="001C11EA" w:rsidRDefault="00182CC4" w:rsidP="00182CC4">
      <w:pPr>
        <w:shd w:val="clear" w:color="auto" w:fill="D9D9D9" w:themeFill="background1" w:themeFillShade="D9"/>
        <w:rPr>
          <w:b/>
          <w:bCs/>
        </w:rPr>
      </w:pPr>
      <w:bookmarkStart w:id="1" w:name="_Hlk187652242"/>
      <w:r w:rsidRPr="001C11EA">
        <w:rPr>
          <w:b/>
          <w:bCs/>
        </w:rPr>
        <w:t xml:space="preserve">GOAL </w:t>
      </w:r>
      <w:r>
        <w:rPr>
          <w:b/>
          <w:bCs/>
        </w:rPr>
        <w:t>AND</w:t>
      </w:r>
      <w:r w:rsidRPr="001C11EA">
        <w:rPr>
          <w:b/>
          <w:bCs/>
        </w:rPr>
        <w:t xml:space="preserve"> DESCRIPTION</w:t>
      </w:r>
    </w:p>
    <w:p w14:paraId="0BD83DC3" w14:textId="77777777" w:rsidR="00182CC4" w:rsidRPr="001C11EA" w:rsidRDefault="00182CC4" w:rsidP="00182CC4">
      <w:pPr>
        <w:jc w:val="both"/>
      </w:pPr>
      <w:r w:rsidRPr="001C11EA">
        <w:t xml:space="preserve">There is a gap between the progress made through research funding and what industry and investors view as an interesting commercial opportunity. While researchers usually receive funding to explore new concepts and conduct early-stage research, there are many challenges in transitioning those results into practical applications or commercial products. This </w:t>
      </w:r>
      <w:r w:rsidRPr="001C11EA">
        <w:rPr>
          <w:b/>
          <w:bCs/>
        </w:rPr>
        <w:t>funding gap</w:t>
      </w:r>
      <w:r w:rsidRPr="001C11EA">
        <w:t xml:space="preserve"> is often called the </w:t>
      </w:r>
      <w:r>
        <w:rPr>
          <w:b/>
          <w:bCs/>
        </w:rPr>
        <w:t>“</w:t>
      </w:r>
      <w:r w:rsidRPr="001C11EA">
        <w:rPr>
          <w:b/>
          <w:bCs/>
        </w:rPr>
        <w:t>valley of death</w:t>
      </w:r>
      <w:r>
        <w:rPr>
          <w:b/>
          <w:bCs/>
        </w:rPr>
        <w:t>”</w:t>
      </w:r>
      <w:r w:rsidRPr="001C11EA">
        <w:t xml:space="preserve">. To bridge this gap and facilitate the transition from research to practical application or commercialization, </w:t>
      </w:r>
      <w:bookmarkStart w:id="2" w:name="_Hlk186723008"/>
      <w:r w:rsidRPr="001C11EA">
        <w:rPr>
          <w:b/>
          <w:bCs/>
        </w:rPr>
        <w:t xml:space="preserve">proof-of-concept </w:t>
      </w:r>
      <w:r w:rsidRPr="004B1C9C">
        <w:t xml:space="preserve">(PoC) </w:t>
      </w:r>
      <w:r w:rsidRPr="001C11EA">
        <w:t>program</w:t>
      </w:r>
      <w:bookmarkEnd w:id="2"/>
      <w:r w:rsidRPr="001C11EA">
        <w:t xml:space="preserve">s are essential. </w:t>
      </w:r>
    </w:p>
    <w:p w14:paraId="01C62AC0" w14:textId="77777777" w:rsidR="00182CC4" w:rsidRPr="001C11EA" w:rsidRDefault="00182CC4" w:rsidP="00182CC4">
      <w:pPr>
        <w:jc w:val="both"/>
      </w:pPr>
      <w:r w:rsidRPr="001C11EA">
        <w:t xml:space="preserve">PoC programs aim to fund and demonstrate the commercial potential or research results to de-risk the technology for industry </w:t>
      </w:r>
      <w:r>
        <w:t>and</w:t>
      </w:r>
      <w:r w:rsidRPr="001C11EA">
        <w:t xml:space="preserve"> investors. The end goal of </w:t>
      </w:r>
      <w:r>
        <w:t>these programs</w:t>
      </w:r>
      <w:r w:rsidRPr="001C11EA">
        <w:t xml:space="preserve"> is to </w:t>
      </w:r>
      <w:r w:rsidRPr="001C11EA">
        <w:rPr>
          <w:b/>
          <w:bCs/>
        </w:rPr>
        <w:t>produce evidence that the technology works, has commercial potential, and is ready for</w:t>
      </w:r>
      <w:r w:rsidRPr="001C11EA">
        <w:t xml:space="preserve"> </w:t>
      </w:r>
      <w:r w:rsidRPr="001C11EA">
        <w:rPr>
          <w:b/>
          <w:bCs/>
        </w:rPr>
        <w:t>investment</w:t>
      </w:r>
      <w:r w:rsidRPr="001C11EA">
        <w:t xml:space="preserve"> of some kind.</w:t>
      </w:r>
    </w:p>
    <w:p w14:paraId="2A62B11D" w14:textId="77777777" w:rsidR="00182CC4" w:rsidRPr="001C11EA" w:rsidRDefault="00182CC4" w:rsidP="00182CC4">
      <w:pPr>
        <w:jc w:val="both"/>
      </w:pPr>
      <w:r w:rsidRPr="001C11EA">
        <w:t>Unfortunately, PoC</w:t>
      </w:r>
      <w:r>
        <w:t>s</w:t>
      </w:r>
      <w:r w:rsidRPr="001C11EA">
        <w:t xml:space="preserve"> are scarce in our environment. This is why IMDEA Materials has decided to launch the first call of its PoC program, </w:t>
      </w:r>
      <w:r w:rsidRPr="001C11EA">
        <w:rPr>
          <w:b/>
          <w:bCs/>
        </w:rPr>
        <w:t>Materialise 2025</w:t>
      </w:r>
      <w:r w:rsidRPr="001C11EA">
        <w:t>, which is expected to be continued with regular calls every 1-2 years</w:t>
      </w:r>
      <w:r>
        <w:t>, depending on the approved annual budget of the Institute</w:t>
      </w:r>
      <w:r w:rsidRPr="001C11EA">
        <w:t>.</w:t>
      </w:r>
    </w:p>
    <w:p w14:paraId="27316335" w14:textId="77777777" w:rsidR="00182CC4" w:rsidRDefault="00182CC4" w:rsidP="00182CC4">
      <w:pPr>
        <w:jc w:val="both"/>
        <w:rPr>
          <w:lang w:val="es-ES"/>
        </w:rPr>
      </w:pPr>
      <w:r w:rsidRPr="001C11EA">
        <w:rPr>
          <w:noProof/>
          <w:lang w:val="es-ES"/>
        </w:rPr>
        <w:drawing>
          <wp:inline distT="0" distB="0" distL="0" distR="0" wp14:anchorId="77FBAC16" wp14:editId="0D05CF04">
            <wp:extent cx="6090388" cy="1764000"/>
            <wp:effectExtent l="0" t="0" r="5715" b="8255"/>
            <wp:docPr id="531707095" name="Picture 1" descr="A diagram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07095" name="Picture 1" descr="A diagram of a diagram"/>
                    <pic:cNvPicPr/>
                  </pic:nvPicPr>
                  <pic:blipFill>
                    <a:blip r:embed="rId8"/>
                    <a:stretch>
                      <a:fillRect/>
                    </a:stretch>
                  </pic:blipFill>
                  <pic:spPr>
                    <a:xfrm>
                      <a:off x="0" y="0"/>
                      <a:ext cx="6090388" cy="1764000"/>
                    </a:xfrm>
                    <a:prstGeom prst="rect">
                      <a:avLst/>
                    </a:prstGeom>
                  </pic:spPr>
                </pic:pic>
              </a:graphicData>
            </a:graphic>
          </wp:inline>
        </w:drawing>
      </w:r>
    </w:p>
    <w:p w14:paraId="2CB79F2E" w14:textId="77777777" w:rsidR="00182CC4" w:rsidRPr="001C11EA" w:rsidRDefault="00182CC4" w:rsidP="00182CC4">
      <w:pPr>
        <w:jc w:val="both"/>
      </w:pPr>
      <w:r w:rsidRPr="001C11EA">
        <w:t xml:space="preserve">The </w:t>
      </w:r>
      <w:r w:rsidRPr="001C11EA">
        <w:rPr>
          <w:b/>
          <w:bCs/>
        </w:rPr>
        <w:t>goal</w:t>
      </w:r>
      <w:r w:rsidRPr="001C11EA">
        <w:t xml:space="preserve"> of Materialise 2025 is to:</w:t>
      </w:r>
    </w:p>
    <w:p w14:paraId="1B6260A9" w14:textId="77777777" w:rsidR="00182CC4" w:rsidRDefault="00182CC4" w:rsidP="00182CC4">
      <w:pPr>
        <w:pStyle w:val="ListParagraph"/>
        <w:numPr>
          <w:ilvl w:val="0"/>
          <w:numId w:val="4"/>
        </w:numPr>
        <w:jc w:val="both"/>
      </w:pPr>
      <w:r w:rsidRPr="001C11EA">
        <w:t>Address the low maturity/Technology Readiness Level (</w:t>
      </w:r>
      <w:hyperlink r:id="rId9" w:history="1">
        <w:r w:rsidRPr="001C11EA">
          <w:rPr>
            <w:rStyle w:val="Hyperlink"/>
          </w:rPr>
          <w:t>TRL</w:t>
        </w:r>
      </w:hyperlink>
      <w:r w:rsidRPr="001C11EA">
        <w:t>) of IMDEA Materials</w:t>
      </w:r>
      <w:r>
        <w:t>’</w:t>
      </w:r>
      <w:r w:rsidRPr="001C11EA">
        <w:t xml:space="preserve"> research results to make them more attractive for industrial uptake.</w:t>
      </w:r>
    </w:p>
    <w:p w14:paraId="2822E8AC" w14:textId="77777777" w:rsidR="00182CC4" w:rsidRPr="001C11EA" w:rsidRDefault="00182CC4" w:rsidP="00182CC4">
      <w:pPr>
        <w:pStyle w:val="ListParagraph"/>
        <w:numPr>
          <w:ilvl w:val="0"/>
          <w:numId w:val="4"/>
        </w:numPr>
        <w:jc w:val="both"/>
      </w:pPr>
      <w:r w:rsidRPr="001C11EA">
        <w:t xml:space="preserve">Develop technological (prototypes, </w:t>
      </w:r>
      <w:r w:rsidRPr="00C102C2">
        <w:t>validated technologies</w:t>
      </w:r>
      <w:r w:rsidRPr="001C11EA">
        <w:t>, etc.) and non-technological aspects (</w:t>
      </w:r>
      <w:r>
        <w:t xml:space="preserve">early customer discovery and </w:t>
      </w:r>
      <w:r w:rsidRPr="001C11EA">
        <w:t>problem-solution fit, use case definition, intellectual property (IP) strategy, etc.) to instil confidence in potential customers, licensees or investors.</w:t>
      </w:r>
    </w:p>
    <w:p w14:paraId="5E44C794" w14:textId="77777777" w:rsidR="00182CC4" w:rsidRPr="001C11EA" w:rsidRDefault="00182CC4" w:rsidP="00182CC4">
      <w:pPr>
        <w:pStyle w:val="ListParagraph"/>
        <w:numPr>
          <w:ilvl w:val="0"/>
          <w:numId w:val="4"/>
        </w:numPr>
        <w:jc w:val="both"/>
      </w:pPr>
      <w:r w:rsidRPr="001C11EA">
        <w:t>Enable technology transfer pathways such as spin-offs, license agreements, contracts, and partnerships in innovation projects.</w:t>
      </w:r>
    </w:p>
    <w:p w14:paraId="0FA96258" w14:textId="77777777" w:rsidR="00182CC4" w:rsidRPr="001C11EA" w:rsidRDefault="00182CC4" w:rsidP="00182CC4">
      <w:pPr>
        <w:jc w:val="both"/>
      </w:pPr>
      <w:r w:rsidRPr="001C11EA">
        <w:t xml:space="preserve">The </w:t>
      </w:r>
      <w:r w:rsidRPr="001C11EA">
        <w:rPr>
          <w:b/>
          <w:bCs/>
        </w:rPr>
        <w:t>expected outcomes</w:t>
      </w:r>
      <w:r w:rsidRPr="001C11EA">
        <w:t xml:space="preserve"> of Materialise 2025 are:</w:t>
      </w:r>
    </w:p>
    <w:p w14:paraId="702E7AD2" w14:textId="77777777" w:rsidR="00182CC4" w:rsidRDefault="00182CC4" w:rsidP="00182CC4">
      <w:pPr>
        <w:pStyle w:val="ListParagraph"/>
        <w:numPr>
          <w:ilvl w:val="0"/>
          <w:numId w:val="5"/>
        </w:numPr>
        <w:jc w:val="both"/>
        <w:rPr>
          <w:lang w:val="es-ES"/>
        </w:rPr>
      </w:pPr>
      <w:r>
        <w:rPr>
          <w:lang w:val="es-ES"/>
        </w:rPr>
        <w:t>P</w:t>
      </w:r>
      <w:r w:rsidRPr="00B0293F">
        <w:rPr>
          <w:lang w:val="es-ES"/>
        </w:rPr>
        <w:t>rototypes</w:t>
      </w:r>
      <w:r>
        <w:rPr>
          <w:lang w:val="es-ES"/>
        </w:rPr>
        <w:t xml:space="preserve"> and validated technologies.</w:t>
      </w:r>
    </w:p>
    <w:p w14:paraId="422AB49D" w14:textId="77777777" w:rsidR="00182CC4" w:rsidRPr="001C11EA" w:rsidRDefault="00182CC4" w:rsidP="00182CC4">
      <w:pPr>
        <w:pStyle w:val="ListParagraph"/>
        <w:numPr>
          <w:ilvl w:val="0"/>
          <w:numId w:val="5"/>
        </w:numPr>
        <w:jc w:val="both"/>
      </w:pPr>
      <w:r w:rsidRPr="001C11EA">
        <w:t>IP filings (patents, etc.) and other IP rights.</w:t>
      </w:r>
    </w:p>
    <w:p w14:paraId="7B5FBB48" w14:textId="77777777" w:rsidR="00182CC4" w:rsidRPr="001C11EA" w:rsidRDefault="00182CC4" w:rsidP="00182CC4">
      <w:pPr>
        <w:pStyle w:val="ListParagraph"/>
        <w:numPr>
          <w:ilvl w:val="0"/>
          <w:numId w:val="5"/>
        </w:numPr>
        <w:jc w:val="both"/>
      </w:pPr>
      <w:r w:rsidRPr="001C11EA">
        <w:lastRenderedPageBreak/>
        <w:t>Structured commercial avenues increasing the Institute</w:t>
      </w:r>
      <w:r>
        <w:t>’</w:t>
      </w:r>
      <w:r w:rsidRPr="001C11EA">
        <w:t>s impact on material sciences applications across industries.</w:t>
      </w:r>
    </w:p>
    <w:p w14:paraId="22A0A79A" w14:textId="77777777" w:rsidR="00182CC4" w:rsidRPr="001C11EA" w:rsidRDefault="00182CC4" w:rsidP="00182CC4">
      <w:pPr>
        <w:pStyle w:val="ListParagraph"/>
        <w:numPr>
          <w:ilvl w:val="0"/>
          <w:numId w:val="5"/>
        </w:numPr>
        <w:jc w:val="both"/>
      </w:pPr>
      <w:r w:rsidRPr="001C11EA">
        <w:t>Increased technology transfer activities and awareness among IMDEA Materials</w:t>
      </w:r>
      <w:r>
        <w:t>’</w:t>
      </w:r>
      <w:r w:rsidRPr="001C11EA">
        <w:t xml:space="preserve"> staff.</w:t>
      </w:r>
    </w:p>
    <w:p w14:paraId="084A8EE6" w14:textId="77777777" w:rsidR="00182CC4" w:rsidRPr="001C11EA" w:rsidRDefault="00182CC4" w:rsidP="00182CC4">
      <w:pPr>
        <w:shd w:val="clear" w:color="auto" w:fill="D9D9D9" w:themeFill="background1" w:themeFillShade="D9"/>
        <w:rPr>
          <w:b/>
          <w:bCs/>
        </w:rPr>
      </w:pPr>
      <w:r w:rsidRPr="001C11EA">
        <w:rPr>
          <w:b/>
          <w:bCs/>
        </w:rPr>
        <w:t xml:space="preserve">FUNDING, DURATION </w:t>
      </w:r>
      <w:r>
        <w:rPr>
          <w:b/>
          <w:bCs/>
        </w:rPr>
        <w:t>AND</w:t>
      </w:r>
      <w:r w:rsidRPr="001C11EA">
        <w:rPr>
          <w:b/>
          <w:bCs/>
        </w:rPr>
        <w:t xml:space="preserve"> NUMBER OF PROJECTS</w:t>
      </w:r>
    </w:p>
    <w:p w14:paraId="2F58B9C4" w14:textId="77777777" w:rsidR="00182CC4" w:rsidRPr="001C11EA" w:rsidRDefault="00182CC4" w:rsidP="00182CC4">
      <w:pPr>
        <w:jc w:val="both"/>
      </w:pPr>
      <w:r w:rsidRPr="001C11EA">
        <w:rPr>
          <w:b/>
          <w:bCs/>
        </w:rPr>
        <w:t>One project</w:t>
      </w:r>
      <w:r w:rsidRPr="001C11EA">
        <w:t>, up to</w:t>
      </w:r>
      <w:r>
        <w:t xml:space="preserve">  </w:t>
      </w:r>
      <w:r w:rsidRPr="001C11EA">
        <w:rPr>
          <w:b/>
          <w:bCs/>
        </w:rPr>
        <w:t>45.000 €</w:t>
      </w:r>
      <w:r w:rsidRPr="001C11EA">
        <w:t xml:space="preserve"> of direct costs</w:t>
      </w:r>
      <w:r>
        <w:t xml:space="preserve">, </w:t>
      </w:r>
      <w:r w:rsidRPr="001C11EA">
        <w:t xml:space="preserve">plus </w:t>
      </w:r>
      <w:r w:rsidRPr="004B1C9C">
        <w:rPr>
          <w:b/>
          <w:bCs/>
        </w:rPr>
        <w:t xml:space="preserve">support </w:t>
      </w:r>
      <w:r w:rsidRPr="001C11EA">
        <w:t xml:space="preserve">from external experts </w:t>
      </w:r>
      <w:r>
        <w:t xml:space="preserve">(valued at </w:t>
      </w:r>
      <w:r w:rsidRPr="00890547">
        <w:rPr>
          <w:b/>
          <w:bCs/>
        </w:rPr>
        <w:t>5.000 €</w:t>
      </w:r>
      <w:r>
        <w:t xml:space="preserve">) </w:t>
      </w:r>
      <w:r w:rsidRPr="001C11EA">
        <w:t>and IMDEA Materials</w:t>
      </w:r>
      <w:r>
        <w:t>’</w:t>
      </w:r>
      <w:r w:rsidRPr="001C11EA">
        <w:t xml:space="preserve"> </w:t>
      </w:r>
      <w:bookmarkStart w:id="3" w:name="_Hlk186710675"/>
      <w:r w:rsidRPr="001C11EA">
        <w:t xml:space="preserve">Technology Transfer and Innovation Office (TTIO) </w:t>
      </w:r>
      <w:bookmarkEnd w:id="3"/>
      <w:r w:rsidRPr="001C11EA">
        <w:t xml:space="preserve">for non-technological aspects, with a </w:t>
      </w:r>
      <w:r w:rsidRPr="001C11EA">
        <w:rPr>
          <w:b/>
          <w:bCs/>
        </w:rPr>
        <w:t>1-year</w:t>
      </w:r>
      <w:r w:rsidRPr="001C11EA">
        <w:t xml:space="preserve"> duration maximum.</w:t>
      </w:r>
    </w:p>
    <w:p w14:paraId="79DB4E1F" w14:textId="77777777" w:rsidR="00182CC4" w:rsidRDefault="00182CC4" w:rsidP="00182CC4">
      <w:pPr>
        <w:shd w:val="clear" w:color="auto" w:fill="D9D9D9" w:themeFill="background1" w:themeFillShade="D9"/>
        <w:rPr>
          <w:b/>
          <w:bCs/>
          <w:lang w:val="es-ES"/>
        </w:rPr>
      </w:pPr>
      <w:r w:rsidRPr="00B5311F">
        <w:rPr>
          <w:b/>
          <w:bCs/>
          <w:lang w:val="es-ES"/>
        </w:rPr>
        <w:t>TIMELINE</w:t>
      </w:r>
    </w:p>
    <w:p w14:paraId="6D50E4C2" w14:textId="77777777" w:rsidR="00182CC4" w:rsidRDefault="00182CC4" w:rsidP="00182CC4">
      <w:pPr>
        <w:pStyle w:val="ListParagraph"/>
        <w:numPr>
          <w:ilvl w:val="0"/>
          <w:numId w:val="3"/>
        </w:numPr>
        <w:rPr>
          <w:lang w:val="es-ES"/>
        </w:rPr>
      </w:pPr>
      <w:r>
        <w:rPr>
          <w:lang w:val="es-ES"/>
        </w:rPr>
        <w:t>Call announcement: 8/01/2025</w:t>
      </w:r>
    </w:p>
    <w:p w14:paraId="5364DD16" w14:textId="77777777" w:rsidR="00182CC4" w:rsidRDefault="00182CC4" w:rsidP="00182CC4">
      <w:pPr>
        <w:pStyle w:val="ListParagraph"/>
        <w:numPr>
          <w:ilvl w:val="0"/>
          <w:numId w:val="3"/>
        </w:numPr>
        <w:rPr>
          <w:lang w:val="es-ES"/>
        </w:rPr>
      </w:pPr>
      <w:r>
        <w:rPr>
          <w:lang w:val="es-ES"/>
        </w:rPr>
        <w:t>Call open: 27/01/2025</w:t>
      </w:r>
    </w:p>
    <w:p w14:paraId="5F828383" w14:textId="77777777" w:rsidR="00182CC4" w:rsidRDefault="00182CC4" w:rsidP="00182CC4">
      <w:pPr>
        <w:pStyle w:val="ListParagraph"/>
        <w:numPr>
          <w:ilvl w:val="0"/>
          <w:numId w:val="3"/>
        </w:numPr>
        <w:rPr>
          <w:lang w:val="es-ES"/>
        </w:rPr>
      </w:pPr>
      <w:r>
        <w:rPr>
          <w:lang w:val="es-ES"/>
        </w:rPr>
        <w:t>Call deadline: 1/04/2025</w:t>
      </w:r>
    </w:p>
    <w:p w14:paraId="2CFC0F5C" w14:textId="77777777" w:rsidR="00182CC4" w:rsidRDefault="00182CC4" w:rsidP="00182CC4">
      <w:pPr>
        <w:pStyle w:val="ListParagraph"/>
        <w:numPr>
          <w:ilvl w:val="0"/>
          <w:numId w:val="3"/>
        </w:numPr>
        <w:rPr>
          <w:lang w:val="es-ES"/>
        </w:rPr>
      </w:pPr>
      <w:r>
        <w:rPr>
          <w:lang w:val="es-ES"/>
        </w:rPr>
        <w:t>Evaluation: 2/04/2025 – 31/05/2025</w:t>
      </w:r>
    </w:p>
    <w:p w14:paraId="5CE5FCEF" w14:textId="77777777" w:rsidR="00182CC4" w:rsidRDefault="00182CC4" w:rsidP="00182CC4">
      <w:pPr>
        <w:pStyle w:val="ListParagraph"/>
        <w:numPr>
          <w:ilvl w:val="0"/>
          <w:numId w:val="3"/>
        </w:numPr>
        <w:rPr>
          <w:lang w:val="es-ES"/>
        </w:rPr>
      </w:pPr>
      <w:r>
        <w:rPr>
          <w:lang w:val="es-ES"/>
        </w:rPr>
        <w:t>Call results: 1/06/2025</w:t>
      </w:r>
    </w:p>
    <w:p w14:paraId="7E2545B8" w14:textId="77777777" w:rsidR="00182CC4" w:rsidRPr="00C83388" w:rsidRDefault="00182CC4" w:rsidP="00182CC4">
      <w:pPr>
        <w:pStyle w:val="ListParagraph"/>
        <w:numPr>
          <w:ilvl w:val="0"/>
          <w:numId w:val="3"/>
        </w:numPr>
        <w:rPr>
          <w:lang w:val="es-ES"/>
        </w:rPr>
      </w:pPr>
      <w:r>
        <w:rPr>
          <w:lang w:val="es-ES"/>
        </w:rPr>
        <w:t xml:space="preserve">Project start dates: </w:t>
      </w:r>
      <w:bookmarkStart w:id="4" w:name="_Hlk186712481"/>
      <w:r>
        <w:rPr>
          <w:lang w:val="es-ES"/>
        </w:rPr>
        <w:t>1/06/2025 – 30/09/2025</w:t>
      </w:r>
      <w:bookmarkEnd w:id="4"/>
    </w:p>
    <w:p w14:paraId="76F0AF6F" w14:textId="77777777" w:rsidR="00182CC4" w:rsidRPr="00B5311F" w:rsidRDefault="00182CC4" w:rsidP="00182CC4">
      <w:pPr>
        <w:shd w:val="clear" w:color="auto" w:fill="D9D9D9" w:themeFill="background1" w:themeFillShade="D9"/>
        <w:rPr>
          <w:b/>
          <w:bCs/>
          <w:lang w:val="es-ES"/>
        </w:rPr>
      </w:pPr>
      <w:r>
        <w:rPr>
          <w:b/>
          <w:bCs/>
          <w:lang w:val="es-ES"/>
        </w:rPr>
        <w:t>ELIGIBILITY AND REQUIREMENTS</w:t>
      </w:r>
    </w:p>
    <w:p w14:paraId="0A871E74" w14:textId="77777777" w:rsidR="00182CC4" w:rsidRDefault="00182CC4" w:rsidP="00182CC4">
      <w:pPr>
        <w:rPr>
          <w:b/>
          <w:bCs/>
          <w:lang w:val="es-ES"/>
        </w:rPr>
      </w:pPr>
      <w:r w:rsidRPr="00B5311F">
        <w:rPr>
          <w:b/>
          <w:bCs/>
          <w:lang w:val="es-ES"/>
        </w:rPr>
        <w:t>Applicants</w:t>
      </w:r>
    </w:p>
    <w:p w14:paraId="7CA7F59E" w14:textId="77777777" w:rsidR="00182CC4" w:rsidRDefault="00182CC4" w:rsidP="00182CC4">
      <w:pPr>
        <w:pStyle w:val="ListParagraph"/>
        <w:numPr>
          <w:ilvl w:val="0"/>
          <w:numId w:val="1"/>
        </w:numPr>
        <w:jc w:val="both"/>
      </w:pPr>
      <w:bookmarkStart w:id="5" w:name="_Hlk186711219"/>
      <w:r w:rsidRPr="001C11EA">
        <w:t xml:space="preserve">The applicant has to be a </w:t>
      </w:r>
      <w:r w:rsidRPr="001C11EA">
        <w:rPr>
          <w:b/>
          <w:bCs/>
        </w:rPr>
        <w:t>researcher</w:t>
      </w:r>
      <w:r w:rsidRPr="001C11EA">
        <w:t xml:space="preserve"> (all levels allowed, from Research Assistants to Principal Investigators (PIs)) </w:t>
      </w:r>
      <w:r w:rsidRPr="001C11EA">
        <w:rPr>
          <w:b/>
          <w:bCs/>
        </w:rPr>
        <w:t>or technical staff</w:t>
      </w:r>
      <w:r w:rsidRPr="001C11EA">
        <w:t xml:space="preserve"> (</w:t>
      </w:r>
      <w:r>
        <w:t>L</w:t>
      </w:r>
      <w:r w:rsidRPr="001C11EA">
        <w:t xml:space="preserve">aboratory </w:t>
      </w:r>
      <w:r>
        <w:t>T</w:t>
      </w:r>
      <w:r w:rsidRPr="001C11EA">
        <w:t xml:space="preserve">echnicians, </w:t>
      </w:r>
      <w:r>
        <w:t>I</w:t>
      </w:r>
      <w:r w:rsidRPr="001C11EA">
        <w:t xml:space="preserve">nstrument </w:t>
      </w:r>
      <w:r>
        <w:t>S</w:t>
      </w:r>
      <w:r w:rsidRPr="001C11EA">
        <w:t xml:space="preserve">cientists, etc.) at IMDEA Materials with a </w:t>
      </w:r>
      <w:bookmarkStart w:id="6" w:name="_Hlk186711475"/>
      <w:r w:rsidRPr="001C11EA">
        <w:t xml:space="preserve">contractual employment relationship with </w:t>
      </w:r>
      <w:r>
        <w:t>the Institute</w:t>
      </w:r>
      <w:r w:rsidRPr="001C11EA">
        <w:t xml:space="preserve"> covering the whole project execution period, </w:t>
      </w:r>
      <w:r>
        <w:t xml:space="preserve">or </w:t>
      </w:r>
      <w:r w:rsidRPr="001C11EA">
        <w:t xml:space="preserve">with a commitment from the PI of the research group to which they belong to extend </w:t>
      </w:r>
      <w:r>
        <w:t>their</w:t>
      </w:r>
      <w:r w:rsidRPr="001C11EA">
        <w:t xml:space="preserve"> contract during that period</w:t>
      </w:r>
      <w:r>
        <w:t>,</w:t>
      </w:r>
      <w:r w:rsidRPr="001C11EA">
        <w:t xml:space="preserve"> or whose salary cost </w:t>
      </w:r>
      <w:r>
        <w:t>is</w:t>
      </w:r>
      <w:r w:rsidRPr="001C11EA">
        <w:t xml:space="preserve"> covered under the proposal submitted to this call</w:t>
      </w:r>
      <w:bookmarkEnd w:id="5"/>
      <w:bookmarkEnd w:id="6"/>
      <w:r w:rsidRPr="001C11EA">
        <w:t xml:space="preserve">. </w:t>
      </w:r>
      <w:bookmarkStart w:id="7" w:name="_Hlk186723607"/>
    </w:p>
    <w:p w14:paraId="5286B86A" w14:textId="77777777" w:rsidR="00182CC4" w:rsidRDefault="00182CC4" w:rsidP="00182CC4">
      <w:pPr>
        <w:pStyle w:val="ListParagraph"/>
        <w:jc w:val="both"/>
      </w:pPr>
      <w:r w:rsidRPr="001C11EA">
        <w:t xml:space="preserve">If the applicant is not a PI, they must have the </w:t>
      </w:r>
      <w:bookmarkStart w:id="8" w:name="_Hlk186723798"/>
      <w:r w:rsidRPr="001C11EA">
        <w:t xml:space="preserve">approval </w:t>
      </w:r>
      <w:bookmarkEnd w:id="8"/>
      <w:r w:rsidRPr="001C11EA">
        <w:t xml:space="preserve">of the </w:t>
      </w:r>
      <w:bookmarkStart w:id="9" w:name="_Hlk186711411"/>
      <w:r w:rsidRPr="001C11EA">
        <w:t>PI of the research group to which they belong</w:t>
      </w:r>
      <w:bookmarkEnd w:id="9"/>
      <w:r w:rsidRPr="001C11EA">
        <w:t>.</w:t>
      </w:r>
    </w:p>
    <w:p w14:paraId="155DAAD4" w14:textId="77777777" w:rsidR="00182CC4" w:rsidRPr="001C11EA" w:rsidRDefault="00182CC4" w:rsidP="00182CC4">
      <w:pPr>
        <w:pStyle w:val="ListParagraph"/>
        <w:jc w:val="both"/>
      </w:pPr>
      <w:r w:rsidRPr="00033A74">
        <w:t xml:space="preserve">Both the applicant and other possible </w:t>
      </w:r>
      <w:r>
        <w:t xml:space="preserve">team </w:t>
      </w:r>
      <w:r w:rsidRPr="00033A74">
        <w:t xml:space="preserve">members of the project team must have available time outside </w:t>
      </w:r>
      <w:r>
        <w:t>grants</w:t>
      </w:r>
      <w:r w:rsidRPr="00033A74">
        <w:t xml:space="preserve"> to work on the project.</w:t>
      </w:r>
    </w:p>
    <w:bookmarkEnd w:id="7"/>
    <w:p w14:paraId="456F4535" w14:textId="77777777" w:rsidR="00182CC4" w:rsidRDefault="00182CC4" w:rsidP="00182CC4">
      <w:pPr>
        <w:pStyle w:val="ListParagraph"/>
        <w:numPr>
          <w:ilvl w:val="0"/>
          <w:numId w:val="1"/>
        </w:numPr>
        <w:jc w:val="both"/>
      </w:pPr>
      <w:r w:rsidRPr="001C11EA">
        <w:t xml:space="preserve">An applicant can only submit </w:t>
      </w:r>
      <w:r w:rsidRPr="001C11EA">
        <w:rPr>
          <w:b/>
          <w:bCs/>
        </w:rPr>
        <w:t>one proposal</w:t>
      </w:r>
      <w:r w:rsidRPr="001C11EA">
        <w:t xml:space="preserve"> to this call.</w:t>
      </w:r>
    </w:p>
    <w:p w14:paraId="58BED2F3" w14:textId="77777777" w:rsidR="00182CC4" w:rsidRPr="001C11EA" w:rsidRDefault="00182CC4" w:rsidP="00182CC4">
      <w:pPr>
        <w:pStyle w:val="ListParagraph"/>
        <w:numPr>
          <w:ilvl w:val="0"/>
          <w:numId w:val="1"/>
        </w:numPr>
        <w:jc w:val="both"/>
      </w:pPr>
      <w:r w:rsidRPr="001C11EA">
        <w:t xml:space="preserve">The applicant may carry the project </w:t>
      </w:r>
      <w:r w:rsidRPr="001C11EA">
        <w:rPr>
          <w:b/>
          <w:bCs/>
        </w:rPr>
        <w:t>alone or teaming</w:t>
      </w:r>
      <w:r w:rsidRPr="001C11EA">
        <w:t xml:space="preserve"> with other IMDEA Materials Institute colleagues, who should be mentioned in the technical proposal.</w:t>
      </w:r>
    </w:p>
    <w:p w14:paraId="2BAFA62B" w14:textId="77777777" w:rsidR="00182CC4" w:rsidRPr="001C11EA" w:rsidRDefault="00182CC4" w:rsidP="00182CC4">
      <w:pPr>
        <w:pStyle w:val="ListParagraph"/>
        <w:numPr>
          <w:ilvl w:val="0"/>
          <w:numId w:val="1"/>
        </w:numPr>
        <w:jc w:val="both"/>
      </w:pPr>
      <w:r w:rsidRPr="001C11EA">
        <w:t xml:space="preserve">This project is </w:t>
      </w:r>
      <w:r>
        <w:rPr>
          <w:b/>
          <w:bCs/>
        </w:rPr>
        <w:t>incompatible</w:t>
      </w:r>
      <w:r w:rsidRPr="001C11EA">
        <w:rPr>
          <w:b/>
          <w:bCs/>
        </w:rPr>
        <w:t xml:space="preserve"> with similar calls funding the same activities</w:t>
      </w:r>
      <w:r w:rsidRPr="001C11EA">
        <w:t xml:space="preserve"> (PoC from AEI, ERC Po</w:t>
      </w:r>
      <w:r>
        <w:t>C</w:t>
      </w:r>
      <w:r w:rsidRPr="001C11EA">
        <w:t>, EIC transition or similar schemes)</w:t>
      </w:r>
      <w:r>
        <w:t>.</w:t>
      </w:r>
    </w:p>
    <w:p w14:paraId="0C869D0F" w14:textId="77777777" w:rsidR="00182CC4" w:rsidRDefault="00182CC4" w:rsidP="00182CC4">
      <w:pPr>
        <w:rPr>
          <w:b/>
          <w:bCs/>
          <w:lang w:val="es-ES"/>
        </w:rPr>
      </w:pPr>
      <w:r>
        <w:rPr>
          <w:b/>
          <w:bCs/>
          <w:lang w:val="es-ES"/>
        </w:rPr>
        <w:t>Projects</w:t>
      </w:r>
    </w:p>
    <w:p w14:paraId="23440F55" w14:textId="77777777" w:rsidR="00182CC4" w:rsidRPr="001C11EA" w:rsidRDefault="00182CC4" w:rsidP="00182CC4">
      <w:pPr>
        <w:pStyle w:val="ListParagraph"/>
        <w:numPr>
          <w:ilvl w:val="0"/>
          <w:numId w:val="1"/>
        </w:numPr>
        <w:jc w:val="both"/>
      </w:pPr>
      <w:r w:rsidRPr="00B0293F">
        <w:rPr>
          <w:lang w:val="en-US"/>
        </w:rPr>
        <w:t>Project</w:t>
      </w:r>
      <w:r>
        <w:rPr>
          <w:lang w:val="en-US"/>
        </w:rPr>
        <w:t xml:space="preserve"> proposals</w:t>
      </w:r>
      <w:r w:rsidRPr="00B0293F">
        <w:rPr>
          <w:lang w:val="en-US"/>
        </w:rPr>
        <w:t xml:space="preserve"> must be </w:t>
      </w:r>
      <w:r w:rsidRPr="00E82957">
        <w:rPr>
          <w:lang w:val="en-US"/>
        </w:rPr>
        <w:t>based on a</w:t>
      </w:r>
      <w:r w:rsidRPr="00960A73">
        <w:rPr>
          <w:b/>
          <w:bCs/>
          <w:lang w:val="en-US"/>
        </w:rPr>
        <w:t xml:space="preserve"> research result carried out at IMDEA Materials </w:t>
      </w:r>
      <w:r w:rsidRPr="00305BC1">
        <w:rPr>
          <w:lang w:val="en-US"/>
        </w:rPr>
        <w:t xml:space="preserve">that </w:t>
      </w:r>
      <w:r>
        <w:rPr>
          <w:lang w:val="en-US"/>
        </w:rPr>
        <w:t>has been</w:t>
      </w:r>
      <w:r w:rsidRPr="00305BC1">
        <w:rPr>
          <w:lang w:val="en-US"/>
        </w:rPr>
        <w:t xml:space="preserve"> </w:t>
      </w:r>
      <w:r w:rsidRPr="00B0293F">
        <w:rPr>
          <w:b/>
          <w:bCs/>
          <w:lang w:val="en-US"/>
        </w:rPr>
        <w:t xml:space="preserve">at least disclosed and positively evaluated </w:t>
      </w:r>
      <w:r w:rsidRPr="008F0DE5">
        <w:rPr>
          <w:b/>
          <w:bCs/>
          <w:lang w:val="en-US"/>
        </w:rPr>
        <w:t>by the TTIO</w:t>
      </w:r>
      <w:r>
        <w:rPr>
          <w:lang w:val="en-US"/>
        </w:rPr>
        <w:t xml:space="preserve"> </w:t>
      </w:r>
      <w:r w:rsidRPr="00E82957">
        <w:rPr>
          <w:b/>
          <w:bCs/>
          <w:u w:val="single"/>
          <w:lang w:val="en-US"/>
        </w:rPr>
        <w:t>before</w:t>
      </w:r>
      <w:r w:rsidRPr="00E82957">
        <w:rPr>
          <w:b/>
          <w:bCs/>
          <w:lang w:val="en-US"/>
        </w:rPr>
        <w:t xml:space="preserve"> the</w:t>
      </w:r>
      <w:r w:rsidRPr="007273DE">
        <w:rPr>
          <w:lang w:val="en-US"/>
        </w:rPr>
        <w:t xml:space="preserve"> call</w:t>
      </w:r>
      <w:r w:rsidRPr="00E82957">
        <w:rPr>
          <w:b/>
          <w:bCs/>
          <w:lang w:val="en-US"/>
        </w:rPr>
        <w:t xml:space="preserve"> deadline</w:t>
      </w:r>
      <w:r>
        <w:rPr>
          <w:lang w:val="en-US"/>
        </w:rPr>
        <w:t xml:space="preserve">. Project proposals can, of course, be based on patent applications or granted patents, registered </w:t>
      </w:r>
      <w:r>
        <w:rPr>
          <w:lang w:val="en-US"/>
        </w:rPr>
        <w:lastRenderedPageBreak/>
        <w:t>software/code (</w:t>
      </w:r>
      <w:r w:rsidRPr="00102245">
        <w:rPr>
          <w:lang w:val="en-US"/>
        </w:rPr>
        <w:t>or for which an application for registration has been submitted</w:t>
      </w:r>
      <w:r>
        <w:rPr>
          <w:lang w:val="en-US"/>
        </w:rPr>
        <w:t>) or results protected via industrial secret at IMDEA Materials.</w:t>
      </w:r>
    </w:p>
    <w:p w14:paraId="050D0347" w14:textId="77777777" w:rsidR="00182CC4" w:rsidRPr="00960A73" w:rsidRDefault="00182CC4" w:rsidP="00182CC4">
      <w:pPr>
        <w:pStyle w:val="ListParagraph"/>
        <w:numPr>
          <w:ilvl w:val="0"/>
          <w:numId w:val="1"/>
        </w:numPr>
        <w:jc w:val="both"/>
        <w:rPr>
          <w:lang w:val="en-US"/>
        </w:rPr>
      </w:pPr>
      <w:r w:rsidRPr="00960A73">
        <w:rPr>
          <w:b/>
          <w:bCs/>
          <w:lang w:val="en-US"/>
        </w:rPr>
        <w:t>Entry TRL</w:t>
      </w:r>
      <w:r>
        <w:rPr>
          <w:b/>
          <w:bCs/>
          <w:lang w:val="en-US"/>
        </w:rPr>
        <w:t>:</w:t>
      </w:r>
      <w:r w:rsidRPr="00960A73">
        <w:rPr>
          <w:b/>
          <w:bCs/>
          <w:lang w:val="en-US"/>
        </w:rPr>
        <w:t xml:space="preserve"> 2-3</w:t>
      </w:r>
      <w:r w:rsidRPr="00960A73">
        <w:rPr>
          <w:lang w:val="en-US"/>
        </w:rPr>
        <w:t xml:space="preserve"> (technology concept formulated - experimental proof of concept)</w:t>
      </w:r>
      <w:r>
        <w:rPr>
          <w:lang w:val="en-US"/>
        </w:rPr>
        <w:t xml:space="preserve">, </w:t>
      </w:r>
      <w:r w:rsidRPr="00960A73">
        <w:rPr>
          <w:b/>
          <w:bCs/>
          <w:lang w:val="en-US"/>
        </w:rPr>
        <w:t>exit TRL</w:t>
      </w:r>
      <w:r>
        <w:rPr>
          <w:b/>
          <w:bCs/>
          <w:lang w:val="en-US"/>
        </w:rPr>
        <w:t>:</w:t>
      </w:r>
      <w:r w:rsidRPr="00960A73">
        <w:rPr>
          <w:b/>
          <w:bCs/>
          <w:lang w:val="en-US"/>
        </w:rPr>
        <w:t xml:space="preserve"> 4-</w:t>
      </w:r>
      <w:r>
        <w:rPr>
          <w:b/>
          <w:bCs/>
          <w:lang w:val="en-US"/>
        </w:rPr>
        <w:t>5</w:t>
      </w:r>
      <w:r w:rsidRPr="00960A73">
        <w:rPr>
          <w:lang w:val="en-US"/>
        </w:rPr>
        <w:t xml:space="preserve"> (technology validated in </w:t>
      </w:r>
      <w:r>
        <w:rPr>
          <w:lang w:val="en-US"/>
        </w:rPr>
        <w:t xml:space="preserve">the </w:t>
      </w:r>
      <w:r w:rsidRPr="00960A73">
        <w:rPr>
          <w:lang w:val="en-US"/>
        </w:rPr>
        <w:t xml:space="preserve">laboratory - </w:t>
      </w:r>
      <w:r>
        <w:rPr>
          <w:lang w:val="en-US"/>
        </w:rPr>
        <w:t>t</w:t>
      </w:r>
      <w:r w:rsidRPr="00A81E64">
        <w:rPr>
          <w:lang w:val="en-US"/>
        </w:rPr>
        <w:t xml:space="preserve">echnology validated in relevant environment </w:t>
      </w:r>
      <w:r w:rsidRPr="00960A73">
        <w:rPr>
          <w:lang w:val="en-US"/>
        </w:rPr>
        <w:t>)</w:t>
      </w:r>
    </w:p>
    <w:p w14:paraId="5F4374A3" w14:textId="77777777" w:rsidR="00182CC4" w:rsidRPr="001C11EA" w:rsidRDefault="00182CC4" w:rsidP="00182CC4">
      <w:pPr>
        <w:pStyle w:val="ListParagraph"/>
        <w:numPr>
          <w:ilvl w:val="0"/>
          <w:numId w:val="1"/>
        </w:numPr>
        <w:jc w:val="both"/>
      </w:pPr>
      <w:r w:rsidRPr="001C11EA">
        <w:t>T</w:t>
      </w:r>
      <w:r>
        <w:t xml:space="preserve">he </w:t>
      </w:r>
      <w:r w:rsidRPr="0067608A">
        <w:rPr>
          <w:b/>
          <w:bCs/>
        </w:rPr>
        <w:t>activities supported are</w:t>
      </w:r>
      <w:r w:rsidRPr="001C11EA">
        <w:t xml:space="preserve">: </w:t>
      </w:r>
      <w:r w:rsidRPr="00FB313D">
        <w:t>developing prototypes or demonstrators, validating research ideas, customer discovery to test market potential, protecting intellectual property (IP), gathering data for regulatory, technical, or economic feasibility,  engaging with industry partners for feedback or pilot collaboration</w:t>
      </w:r>
      <w:r w:rsidRPr="0067608A">
        <w:rPr>
          <w:b/>
          <w:bCs/>
        </w:rPr>
        <w:t xml:space="preserve"> </w:t>
      </w:r>
      <w:r w:rsidRPr="001C11EA">
        <w:t xml:space="preserve">and similar activities. Activities to explore new concepts and conduct early-stage research are </w:t>
      </w:r>
      <w:r w:rsidRPr="0067608A">
        <w:rPr>
          <w:b/>
          <w:bCs/>
          <w:u w:val="single"/>
        </w:rPr>
        <w:t>not</w:t>
      </w:r>
      <w:r w:rsidRPr="0067608A">
        <w:rPr>
          <w:b/>
          <w:bCs/>
        </w:rPr>
        <w:t xml:space="preserve"> within the scope of this call</w:t>
      </w:r>
      <w:r w:rsidRPr="001C11EA">
        <w:t xml:space="preserve">, and the requested budget </w:t>
      </w:r>
      <w:r w:rsidRPr="0067608A">
        <w:rPr>
          <w:u w:val="single"/>
        </w:rPr>
        <w:t>can’t be used</w:t>
      </w:r>
      <w:r w:rsidRPr="001C11EA">
        <w:t xml:space="preserve"> for them.</w:t>
      </w:r>
      <w:r>
        <w:t xml:space="preserve"> </w:t>
      </w:r>
      <w:r w:rsidRPr="0067608A">
        <w:t>The project must be what venture builders would call “</w:t>
      </w:r>
      <w:r w:rsidRPr="0067608A">
        <w:rPr>
          <w:b/>
          <w:bCs/>
        </w:rPr>
        <w:t>the killer experiment</w:t>
      </w:r>
      <w:r w:rsidRPr="0067608A">
        <w:t>”: a project designed to answer the technological/regulatory doubts they need to clarify in order to invest.</w:t>
      </w:r>
    </w:p>
    <w:p w14:paraId="39DE73BF" w14:textId="77777777" w:rsidR="00182CC4" w:rsidRPr="005A3312" w:rsidRDefault="00182CC4" w:rsidP="00182CC4">
      <w:pPr>
        <w:shd w:val="clear" w:color="auto" w:fill="D9D9D9" w:themeFill="background1" w:themeFillShade="D9"/>
        <w:jc w:val="both"/>
        <w:rPr>
          <w:b/>
          <w:bCs/>
          <w:lang w:val="es-ES"/>
        </w:rPr>
      </w:pPr>
      <w:r>
        <w:rPr>
          <w:b/>
          <w:bCs/>
          <w:lang w:val="es-ES"/>
        </w:rPr>
        <w:t>MONITORING AND S</w:t>
      </w:r>
      <w:r w:rsidRPr="005A3312">
        <w:rPr>
          <w:b/>
          <w:bCs/>
          <w:lang w:val="es-ES"/>
        </w:rPr>
        <w:t>UPPORT SERVICES</w:t>
      </w:r>
    </w:p>
    <w:p w14:paraId="260B3AC2" w14:textId="77777777" w:rsidR="00182CC4" w:rsidRPr="00153325" w:rsidRDefault="00182CC4" w:rsidP="00182CC4">
      <w:pPr>
        <w:pStyle w:val="ListParagraph"/>
        <w:numPr>
          <w:ilvl w:val="0"/>
          <w:numId w:val="12"/>
        </w:numPr>
        <w:jc w:val="both"/>
      </w:pPr>
      <w:r w:rsidRPr="00153325">
        <w:t xml:space="preserve">Mentoring services conducted by an external consultancy </w:t>
      </w:r>
      <w:r w:rsidRPr="00E021DE">
        <w:t>throughout</w:t>
      </w:r>
      <w:r w:rsidRPr="00153325">
        <w:t xml:space="preserve"> the project to work on </w:t>
      </w:r>
      <w:r w:rsidRPr="00153325">
        <w:rPr>
          <w:b/>
          <w:bCs/>
        </w:rPr>
        <w:t>early customer discovery and project-solution fit</w:t>
      </w:r>
      <w:r w:rsidRPr="00153325">
        <w:t>, understand the knowledge gaps (market and technical), prepare conversations with potential customers or stakeholders and guide the future development roadmap.</w:t>
      </w:r>
    </w:p>
    <w:p w14:paraId="17D9EC30" w14:textId="77777777" w:rsidR="00182CC4" w:rsidRPr="001C11EA" w:rsidRDefault="00182CC4" w:rsidP="00182CC4">
      <w:pPr>
        <w:pStyle w:val="ListParagraph"/>
        <w:numPr>
          <w:ilvl w:val="0"/>
          <w:numId w:val="12"/>
        </w:numPr>
      </w:pPr>
      <w:r w:rsidRPr="001C11EA">
        <w:t>Monthly follow-up meetings with the TTIO.</w:t>
      </w:r>
    </w:p>
    <w:p w14:paraId="1E469A66" w14:textId="77777777" w:rsidR="00182CC4" w:rsidRPr="001C11EA" w:rsidRDefault="00182CC4" w:rsidP="00182CC4">
      <w:pPr>
        <w:shd w:val="clear" w:color="auto" w:fill="D9D9D9" w:themeFill="background1" w:themeFillShade="D9"/>
        <w:rPr>
          <w:b/>
          <w:bCs/>
        </w:rPr>
      </w:pPr>
      <w:r w:rsidRPr="001C11EA">
        <w:rPr>
          <w:b/>
          <w:bCs/>
        </w:rPr>
        <w:t xml:space="preserve">APPLICATION DOCUMENTS, PROCEDURE </w:t>
      </w:r>
      <w:r>
        <w:rPr>
          <w:b/>
          <w:bCs/>
        </w:rPr>
        <w:t>AND</w:t>
      </w:r>
      <w:r w:rsidRPr="001C11EA">
        <w:rPr>
          <w:b/>
          <w:bCs/>
        </w:rPr>
        <w:t xml:space="preserve"> TEMPLATES</w:t>
      </w:r>
    </w:p>
    <w:p w14:paraId="159DEDEF" w14:textId="77777777" w:rsidR="00182CC4" w:rsidRPr="001C11EA" w:rsidRDefault="00182CC4" w:rsidP="00182CC4">
      <w:pPr>
        <w:jc w:val="both"/>
      </w:pPr>
      <w:r w:rsidRPr="001C11EA">
        <w:t xml:space="preserve">Applicants should send a </w:t>
      </w:r>
      <w:r w:rsidRPr="001C11EA">
        <w:rPr>
          <w:b/>
          <w:bCs/>
        </w:rPr>
        <w:t>technical proposal</w:t>
      </w:r>
      <w:r w:rsidRPr="001C11EA">
        <w:t xml:space="preserve"> (</w:t>
      </w:r>
      <w:r w:rsidRPr="001C11EA">
        <w:rPr>
          <w:b/>
          <w:bCs/>
        </w:rPr>
        <w:t>5 pages</w:t>
      </w:r>
      <w:r w:rsidRPr="001C11EA">
        <w:t xml:space="preserve"> maximum) covering all the following sections </w:t>
      </w:r>
      <w:r>
        <w:t xml:space="preserve">in PDF format </w:t>
      </w:r>
      <w:r w:rsidRPr="001C11EA">
        <w:t>t</w:t>
      </w:r>
      <w:r w:rsidRPr="007C6800">
        <w:t xml:space="preserve">o </w:t>
      </w:r>
      <w:hyperlink r:id="rId10" w:history="1">
        <w:r w:rsidRPr="007C6800">
          <w:rPr>
            <w:rStyle w:val="Hyperlink"/>
          </w:rPr>
          <w:t>techtransfer.materials@imdea.org</w:t>
        </w:r>
      </w:hyperlink>
      <w:r w:rsidRPr="001C11EA">
        <w:t xml:space="preserve"> (subject: </w:t>
      </w:r>
      <w:r>
        <w:t>“</w:t>
      </w:r>
      <w:r w:rsidRPr="001C11EA">
        <w:t>PoC call 2025 proposal</w:t>
      </w:r>
      <w:r>
        <w:t>”</w:t>
      </w:r>
      <w:r w:rsidRPr="001C11EA">
        <w:t>) before the call deadline.</w:t>
      </w:r>
    </w:p>
    <w:p w14:paraId="66BDAA1C" w14:textId="77777777" w:rsidR="00182CC4" w:rsidRPr="001C11EA" w:rsidRDefault="00182CC4" w:rsidP="00182CC4">
      <w:pPr>
        <w:pStyle w:val="ListParagraph"/>
        <w:numPr>
          <w:ilvl w:val="0"/>
          <w:numId w:val="1"/>
        </w:numPr>
      </w:pPr>
      <w:r w:rsidRPr="001C11EA">
        <w:t>Project and applicant data (and PI approval, if needed)</w:t>
      </w:r>
    </w:p>
    <w:p w14:paraId="1533EE88" w14:textId="77777777" w:rsidR="00182CC4" w:rsidRPr="001C11EA" w:rsidRDefault="00182CC4" w:rsidP="00182CC4">
      <w:pPr>
        <w:pStyle w:val="ListParagraph"/>
        <w:numPr>
          <w:ilvl w:val="0"/>
          <w:numId w:val="1"/>
        </w:numPr>
      </w:pPr>
      <w:bookmarkStart w:id="10" w:name="_Hlk186712662"/>
      <w:r w:rsidRPr="001C11EA">
        <w:t>Summary of technology and problem-solution fit</w:t>
      </w:r>
    </w:p>
    <w:bookmarkEnd w:id="10"/>
    <w:p w14:paraId="0452A2A3" w14:textId="77777777" w:rsidR="00182CC4" w:rsidRPr="0084532C" w:rsidRDefault="00182CC4" w:rsidP="00182CC4">
      <w:pPr>
        <w:pStyle w:val="ListParagraph"/>
        <w:numPr>
          <w:ilvl w:val="0"/>
          <w:numId w:val="1"/>
        </w:numPr>
        <w:rPr>
          <w:lang w:val="es-ES"/>
        </w:rPr>
      </w:pPr>
      <w:r w:rsidRPr="0084532C">
        <w:rPr>
          <w:lang w:val="es-ES"/>
        </w:rPr>
        <w:t xml:space="preserve">Market </w:t>
      </w:r>
      <w:r>
        <w:rPr>
          <w:lang w:val="es-ES"/>
        </w:rPr>
        <w:t>p</w:t>
      </w:r>
      <w:r w:rsidRPr="0084532C">
        <w:rPr>
          <w:lang w:val="es-ES"/>
        </w:rPr>
        <w:t xml:space="preserve">otential and </w:t>
      </w:r>
      <w:r>
        <w:rPr>
          <w:lang w:val="es-ES"/>
        </w:rPr>
        <w:t>c</w:t>
      </w:r>
      <w:r w:rsidRPr="0084532C">
        <w:rPr>
          <w:lang w:val="es-ES"/>
        </w:rPr>
        <w:t xml:space="preserve">ommercialization </w:t>
      </w:r>
      <w:r>
        <w:rPr>
          <w:lang w:val="es-ES"/>
        </w:rPr>
        <w:t>p</w:t>
      </w:r>
      <w:r w:rsidRPr="0084532C">
        <w:rPr>
          <w:lang w:val="es-ES"/>
        </w:rPr>
        <w:t>ath</w:t>
      </w:r>
    </w:p>
    <w:p w14:paraId="713608C6" w14:textId="77777777" w:rsidR="00182CC4" w:rsidRPr="0084532C" w:rsidRDefault="00182CC4" w:rsidP="00182CC4">
      <w:pPr>
        <w:pStyle w:val="ListParagraph"/>
        <w:numPr>
          <w:ilvl w:val="0"/>
          <w:numId w:val="1"/>
        </w:numPr>
        <w:rPr>
          <w:lang w:val="es-ES"/>
        </w:rPr>
      </w:pPr>
      <w:r w:rsidRPr="0084532C">
        <w:rPr>
          <w:lang w:val="es-ES"/>
        </w:rPr>
        <w:t xml:space="preserve">TRL and IP </w:t>
      </w:r>
      <w:r>
        <w:rPr>
          <w:lang w:val="es-ES"/>
        </w:rPr>
        <w:t>s</w:t>
      </w:r>
      <w:r w:rsidRPr="0084532C">
        <w:rPr>
          <w:lang w:val="es-ES"/>
        </w:rPr>
        <w:t>tatus</w:t>
      </w:r>
    </w:p>
    <w:p w14:paraId="40FB91A9" w14:textId="77777777" w:rsidR="00182CC4" w:rsidRPr="0084532C" w:rsidRDefault="00182CC4" w:rsidP="00182CC4">
      <w:pPr>
        <w:pStyle w:val="ListParagraph"/>
        <w:numPr>
          <w:ilvl w:val="0"/>
          <w:numId w:val="1"/>
        </w:numPr>
        <w:rPr>
          <w:lang w:val="es-ES"/>
        </w:rPr>
      </w:pPr>
      <w:bookmarkStart w:id="11" w:name="_Hlk186714139"/>
      <w:r w:rsidRPr="0084532C">
        <w:rPr>
          <w:lang w:val="es-ES"/>
        </w:rPr>
        <w:t>Objectives</w:t>
      </w:r>
      <w:r>
        <w:rPr>
          <w:lang w:val="es-ES"/>
        </w:rPr>
        <w:t xml:space="preserve">, team </w:t>
      </w:r>
      <w:r w:rsidRPr="0084532C">
        <w:rPr>
          <w:lang w:val="es-ES"/>
        </w:rPr>
        <w:t xml:space="preserve">and </w:t>
      </w:r>
      <w:r>
        <w:rPr>
          <w:lang w:val="es-ES"/>
        </w:rPr>
        <w:t>w</w:t>
      </w:r>
      <w:r w:rsidRPr="0084532C">
        <w:rPr>
          <w:lang w:val="es-ES"/>
        </w:rPr>
        <w:t xml:space="preserve">ork </w:t>
      </w:r>
      <w:r>
        <w:rPr>
          <w:lang w:val="es-ES"/>
        </w:rPr>
        <w:t>p</w:t>
      </w:r>
      <w:r w:rsidRPr="0084532C">
        <w:rPr>
          <w:lang w:val="es-ES"/>
        </w:rPr>
        <w:t>lan</w:t>
      </w:r>
    </w:p>
    <w:bookmarkEnd w:id="11"/>
    <w:p w14:paraId="0E0FD272" w14:textId="77777777" w:rsidR="00182CC4" w:rsidRPr="0084532C" w:rsidRDefault="00182CC4" w:rsidP="00182CC4">
      <w:pPr>
        <w:pStyle w:val="ListParagraph"/>
        <w:numPr>
          <w:ilvl w:val="0"/>
          <w:numId w:val="1"/>
        </w:numPr>
        <w:rPr>
          <w:lang w:val="es-ES"/>
        </w:rPr>
      </w:pPr>
      <w:r w:rsidRPr="0084532C">
        <w:rPr>
          <w:lang w:val="es-ES"/>
        </w:rPr>
        <w:t>Budget</w:t>
      </w:r>
      <w:r>
        <w:rPr>
          <w:lang w:val="es-ES"/>
        </w:rPr>
        <w:t xml:space="preserve"> breakdown and j</w:t>
      </w:r>
      <w:r w:rsidRPr="0084532C">
        <w:rPr>
          <w:lang w:val="es-ES"/>
        </w:rPr>
        <w:t>ustification</w:t>
      </w:r>
    </w:p>
    <w:p w14:paraId="10090EEC" w14:textId="77777777" w:rsidR="00182CC4" w:rsidRPr="00BF4810" w:rsidRDefault="00182CC4" w:rsidP="00182CC4">
      <w:pPr>
        <w:rPr>
          <w:b/>
          <w:bCs/>
          <w:lang w:val="es-ES"/>
        </w:rPr>
      </w:pPr>
      <w:r w:rsidRPr="00BF4810">
        <w:rPr>
          <w:b/>
          <w:bCs/>
          <w:lang w:val="es-ES"/>
        </w:rPr>
        <w:t>Templates</w:t>
      </w:r>
    </w:p>
    <w:p w14:paraId="468E2D5B" w14:textId="77777777" w:rsidR="00182CC4" w:rsidRPr="001C11EA" w:rsidRDefault="00182CC4" w:rsidP="00182CC4">
      <w:pPr>
        <w:pStyle w:val="ListParagraph"/>
        <w:numPr>
          <w:ilvl w:val="0"/>
          <w:numId w:val="7"/>
        </w:numPr>
        <w:rPr>
          <w:i/>
          <w:iCs/>
        </w:rPr>
      </w:pPr>
      <w:r w:rsidRPr="001C11EA">
        <w:rPr>
          <w:i/>
          <w:iCs/>
        </w:rPr>
        <w:t xml:space="preserve">Invention disclosure templates: </w:t>
      </w:r>
      <w:r w:rsidRPr="00FB313D">
        <w:rPr>
          <w:i/>
          <w:iCs/>
        </w:rPr>
        <w:t>patent</w:t>
      </w:r>
      <w:r w:rsidRPr="001C11EA">
        <w:rPr>
          <w:i/>
          <w:iCs/>
        </w:rPr>
        <w:t xml:space="preserve">, </w:t>
      </w:r>
      <w:r w:rsidRPr="00FB313D">
        <w:rPr>
          <w:i/>
          <w:iCs/>
        </w:rPr>
        <w:t>trade secret</w:t>
      </w:r>
      <w:r w:rsidRPr="001C11EA">
        <w:rPr>
          <w:i/>
          <w:iCs/>
        </w:rPr>
        <w:t xml:space="preserve">, </w:t>
      </w:r>
      <w:r w:rsidRPr="00FB313D">
        <w:rPr>
          <w:i/>
          <w:iCs/>
        </w:rPr>
        <w:t>software</w:t>
      </w:r>
    </w:p>
    <w:p w14:paraId="576EC9AF" w14:textId="77777777" w:rsidR="00182CC4" w:rsidRPr="008F0DE5" w:rsidRDefault="00182CC4" w:rsidP="00182CC4">
      <w:pPr>
        <w:pStyle w:val="ListParagraph"/>
        <w:numPr>
          <w:ilvl w:val="0"/>
          <w:numId w:val="7"/>
        </w:numPr>
        <w:rPr>
          <w:i/>
          <w:iCs/>
          <w:lang w:val="es-ES"/>
        </w:rPr>
      </w:pPr>
      <w:r w:rsidRPr="008F0DE5">
        <w:rPr>
          <w:i/>
          <w:iCs/>
          <w:lang w:val="es-ES"/>
        </w:rPr>
        <w:t>Technical proposal template</w:t>
      </w:r>
    </w:p>
    <w:p w14:paraId="503C1F4E" w14:textId="77777777" w:rsidR="00182CC4" w:rsidRDefault="00182CC4" w:rsidP="00182CC4">
      <w:pPr>
        <w:pStyle w:val="ListParagraph"/>
        <w:numPr>
          <w:ilvl w:val="0"/>
          <w:numId w:val="7"/>
        </w:numPr>
        <w:rPr>
          <w:i/>
          <w:iCs/>
          <w:lang w:val="es-ES"/>
        </w:rPr>
      </w:pPr>
      <w:r w:rsidRPr="008F0DE5">
        <w:rPr>
          <w:i/>
          <w:iCs/>
          <w:lang w:val="es-ES"/>
        </w:rPr>
        <w:t>Project acceptance document</w:t>
      </w:r>
    </w:p>
    <w:p w14:paraId="2D89E048" w14:textId="77777777" w:rsidR="00182CC4" w:rsidRPr="001C11EA" w:rsidRDefault="00182CC4" w:rsidP="00182CC4">
      <w:pPr>
        <w:pStyle w:val="ListParagraph"/>
        <w:numPr>
          <w:ilvl w:val="0"/>
          <w:numId w:val="7"/>
        </w:numPr>
        <w:rPr>
          <w:i/>
          <w:iCs/>
        </w:rPr>
      </w:pPr>
      <w:r w:rsidRPr="001C11EA">
        <w:rPr>
          <w:i/>
          <w:iCs/>
        </w:rPr>
        <w:t>Report summarizing</w:t>
      </w:r>
      <w:r>
        <w:rPr>
          <w:i/>
          <w:iCs/>
        </w:rPr>
        <w:t xml:space="preserve"> the </w:t>
      </w:r>
      <w:r w:rsidRPr="007273DE">
        <w:rPr>
          <w:i/>
          <w:iCs/>
        </w:rPr>
        <w:t>external consultancy</w:t>
      </w:r>
      <w:r>
        <w:rPr>
          <w:i/>
          <w:iCs/>
        </w:rPr>
        <w:t xml:space="preserve"> </w:t>
      </w:r>
      <w:r w:rsidRPr="001C11EA">
        <w:rPr>
          <w:i/>
          <w:iCs/>
        </w:rPr>
        <w:t>support</w:t>
      </w:r>
    </w:p>
    <w:p w14:paraId="1D6E080B" w14:textId="77777777" w:rsidR="00182CC4" w:rsidRPr="008F0DE5" w:rsidRDefault="00182CC4" w:rsidP="00182CC4">
      <w:pPr>
        <w:pStyle w:val="ListParagraph"/>
        <w:numPr>
          <w:ilvl w:val="0"/>
          <w:numId w:val="7"/>
        </w:numPr>
        <w:rPr>
          <w:i/>
          <w:iCs/>
          <w:lang w:val="es-ES"/>
        </w:rPr>
      </w:pPr>
      <w:r w:rsidRPr="008F0DE5">
        <w:rPr>
          <w:i/>
          <w:iCs/>
          <w:lang w:val="es-ES"/>
        </w:rPr>
        <w:t xml:space="preserve">Final report </w:t>
      </w:r>
    </w:p>
    <w:p w14:paraId="21375854" w14:textId="77777777" w:rsidR="00182CC4" w:rsidRPr="00B5311F" w:rsidRDefault="00182CC4" w:rsidP="00182CC4">
      <w:pPr>
        <w:shd w:val="clear" w:color="auto" w:fill="D9D9D9" w:themeFill="background1" w:themeFillShade="D9"/>
        <w:rPr>
          <w:b/>
          <w:bCs/>
          <w:lang w:val="es-ES"/>
        </w:rPr>
      </w:pPr>
      <w:r w:rsidRPr="00B5311F">
        <w:rPr>
          <w:b/>
          <w:bCs/>
          <w:lang w:val="es-ES"/>
        </w:rPr>
        <w:t>EVALUATION</w:t>
      </w:r>
    </w:p>
    <w:p w14:paraId="6344492F" w14:textId="77777777" w:rsidR="00182CC4" w:rsidRPr="001C11EA" w:rsidRDefault="00182CC4" w:rsidP="00182CC4">
      <w:pPr>
        <w:jc w:val="both"/>
        <w:rPr>
          <w:u w:val="double"/>
        </w:rPr>
      </w:pPr>
      <w:r w:rsidRPr="001C11EA">
        <w:t xml:space="preserve">Evaluation will be </w:t>
      </w:r>
      <w:r>
        <w:t>conducted</w:t>
      </w:r>
      <w:r w:rsidRPr="001C11EA">
        <w:t xml:space="preserve"> by a </w:t>
      </w:r>
      <w:r w:rsidRPr="007C6800">
        <w:rPr>
          <w:b/>
          <w:bCs/>
        </w:rPr>
        <w:t>panel of experts</w:t>
      </w:r>
      <w:r w:rsidRPr="001C11EA">
        <w:t>. They will sign a Non-Disclosure Agreement (NDA) to ensure confidentiality before evaluating proposals.</w:t>
      </w:r>
    </w:p>
    <w:p w14:paraId="4DB87288" w14:textId="77777777" w:rsidR="00182CC4" w:rsidRPr="001C11EA" w:rsidRDefault="00182CC4" w:rsidP="00182CC4">
      <w:pPr>
        <w:jc w:val="both"/>
      </w:pPr>
      <w:r w:rsidRPr="001C11EA">
        <w:lastRenderedPageBreak/>
        <w:t xml:space="preserve">The evaluation </w:t>
      </w:r>
      <w:r w:rsidRPr="001C11EA">
        <w:rPr>
          <w:b/>
          <w:bCs/>
        </w:rPr>
        <w:t>criteria, subcriteria, score</w:t>
      </w:r>
      <w:r w:rsidRPr="001C11EA">
        <w:t xml:space="preserve"> and procedure are as follows. Proposals must achieve a minimum overall score of 70% to be considered for funding. The call will be declared void in case proposals don</w:t>
      </w:r>
      <w:r>
        <w:t>’</w:t>
      </w:r>
      <w:r w:rsidRPr="001C11EA">
        <w:t>t reach this threshold.</w:t>
      </w:r>
    </w:p>
    <w:tbl>
      <w:tblPr>
        <w:tblStyle w:val="TableGrid"/>
        <w:tblW w:w="0" w:type="auto"/>
        <w:jc w:val="center"/>
        <w:tblLook w:val="04A0" w:firstRow="1" w:lastRow="0" w:firstColumn="1" w:lastColumn="0" w:noHBand="0" w:noVBand="1"/>
      </w:tblPr>
      <w:tblGrid>
        <w:gridCol w:w="1555"/>
        <w:gridCol w:w="1417"/>
        <w:gridCol w:w="1418"/>
        <w:gridCol w:w="4960"/>
      </w:tblGrid>
      <w:tr w:rsidR="00182CC4" w:rsidRPr="00AE44BF" w14:paraId="2BD9E8E1" w14:textId="77777777" w:rsidTr="00C2663B">
        <w:trPr>
          <w:jc w:val="center"/>
        </w:trPr>
        <w:tc>
          <w:tcPr>
            <w:tcW w:w="1555" w:type="dxa"/>
            <w:shd w:val="clear" w:color="auto" w:fill="D9D9D9" w:themeFill="background1" w:themeFillShade="D9"/>
            <w:vAlign w:val="center"/>
          </w:tcPr>
          <w:p w14:paraId="380E98CF" w14:textId="77777777" w:rsidR="00182CC4" w:rsidRPr="00AE44BF" w:rsidRDefault="00182CC4" w:rsidP="00C2663B">
            <w:pPr>
              <w:rPr>
                <w:b/>
                <w:bCs/>
                <w:lang w:val="es-ES"/>
              </w:rPr>
            </w:pPr>
            <w:r w:rsidRPr="00AE44BF">
              <w:rPr>
                <w:b/>
                <w:bCs/>
                <w:lang w:val="es-ES"/>
              </w:rPr>
              <w:t>Criteria</w:t>
            </w:r>
          </w:p>
        </w:tc>
        <w:tc>
          <w:tcPr>
            <w:tcW w:w="1417" w:type="dxa"/>
            <w:shd w:val="clear" w:color="auto" w:fill="D9D9D9" w:themeFill="background1" w:themeFillShade="D9"/>
            <w:vAlign w:val="center"/>
          </w:tcPr>
          <w:p w14:paraId="23090907" w14:textId="77777777" w:rsidR="00182CC4" w:rsidRPr="00AE44BF" w:rsidRDefault="00182CC4" w:rsidP="00C2663B">
            <w:pPr>
              <w:rPr>
                <w:b/>
                <w:bCs/>
                <w:lang w:val="es-ES"/>
              </w:rPr>
            </w:pPr>
            <w:r w:rsidRPr="00AE44BF">
              <w:rPr>
                <w:b/>
                <w:bCs/>
                <w:lang w:val="es-ES"/>
              </w:rPr>
              <w:t>Weight (%)</w:t>
            </w:r>
          </w:p>
        </w:tc>
        <w:tc>
          <w:tcPr>
            <w:tcW w:w="1418" w:type="dxa"/>
            <w:shd w:val="clear" w:color="auto" w:fill="D9D9D9" w:themeFill="background1" w:themeFillShade="D9"/>
            <w:vAlign w:val="center"/>
          </w:tcPr>
          <w:p w14:paraId="2CAC247D" w14:textId="77777777" w:rsidR="00182CC4" w:rsidRPr="00AE44BF" w:rsidRDefault="00182CC4" w:rsidP="00C2663B">
            <w:pPr>
              <w:rPr>
                <w:b/>
                <w:bCs/>
                <w:lang w:val="es-ES"/>
              </w:rPr>
            </w:pPr>
            <w:r>
              <w:rPr>
                <w:b/>
                <w:bCs/>
                <w:lang w:val="es-ES"/>
              </w:rPr>
              <w:t>Score range (1-10)</w:t>
            </w:r>
            <w:r>
              <w:rPr>
                <w:rStyle w:val="FootnoteReference"/>
                <w:b/>
                <w:bCs/>
                <w:lang w:val="es-ES"/>
              </w:rPr>
              <w:footnoteReference w:id="3"/>
            </w:r>
          </w:p>
        </w:tc>
        <w:tc>
          <w:tcPr>
            <w:tcW w:w="4960" w:type="dxa"/>
            <w:shd w:val="clear" w:color="auto" w:fill="D9D9D9" w:themeFill="background1" w:themeFillShade="D9"/>
            <w:vAlign w:val="center"/>
          </w:tcPr>
          <w:p w14:paraId="6300AC2B" w14:textId="77777777" w:rsidR="00182CC4" w:rsidRPr="00AE44BF" w:rsidRDefault="00182CC4" w:rsidP="00C2663B">
            <w:pPr>
              <w:rPr>
                <w:b/>
                <w:bCs/>
                <w:lang w:val="es-ES"/>
              </w:rPr>
            </w:pPr>
            <w:r>
              <w:rPr>
                <w:b/>
                <w:bCs/>
                <w:lang w:val="es-ES"/>
              </w:rPr>
              <w:t>Subcriteria</w:t>
            </w:r>
          </w:p>
        </w:tc>
      </w:tr>
      <w:tr w:rsidR="00182CC4" w:rsidRPr="00AE44BF" w14:paraId="149C1BFA" w14:textId="77777777" w:rsidTr="00C2663B">
        <w:trPr>
          <w:jc w:val="center"/>
        </w:trPr>
        <w:tc>
          <w:tcPr>
            <w:tcW w:w="1555" w:type="dxa"/>
            <w:shd w:val="clear" w:color="auto" w:fill="auto"/>
            <w:vAlign w:val="center"/>
          </w:tcPr>
          <w:p w14:paraId="61C7D1DC" w14:textId="77777777" w:rsidR="00182CC4" w:rsidRPr="00AE44BF" w:rsidRDefault="00182CC4" w:rsidP="00C2663B">
            <w:pPr>
              <w:rPr>
                <w:rFonts w:cs="Arial"/>
                <w:kern w:val="24"/>
                <w:lang w:val="en-US"/>
              </w:rPr>
            </w:pPr>
            <w:r w:rsidRPr="00AE44BF">
              <w:rPr>
                <w:rFonts w:cs="Arial"/>
                <w:kern w:val="24"/>
                <w:lang w:val="en-US"/>
              </w:rPr>
              <w:t xml:space="preserve">Industrial </w:t>
            </w:r>
            <w:r>
              <w:rPr>
                <w:rFonts w:cs="Arial"/>
                <w:kern w:val="24"/>
                <w:lang w:val="en-US"/>
              </w:rPr>
              <w:t>a</w:t>
            </w:r>
            <w:r w:rsidRPr="00AE44BF">
              <w:rPr>
                <w:rFonts w:cs="Arial"/>
                <w:kern w:val="24"/>
                <w:lang w:val="en-US"/>
              </w:rPr>
              <w:t>pplicability</w:t>
            </w:r>
            <w:r>
              <w:rPr>
                <w:rFonts w:cs="Arial"/>
                <w:kern w:val="24"/>
                <w:lang w:val="en-US"/>
              </w:rPr>
              <w:t xml:space="preserve"> and market impact</w:t>
            </w:r>
          </w:p>
        </w:tc>
        <w:tc>
          <w:tcPr>
            <w:tcW w:w="1417" w:type="dxa"/>
            <w:vAlign w:val="center"/>
          </w:tcPr>
          <w:p w14:paraId="49CAC1C2" w14:textId="77777777" w:rsidR="00182CC4" w:rsidRDefault="00182CC4" w:rsidP="00C2663B">
            <w:pPr>
              <w:rPr>
                <w:lang w:val="es-ES"/>
              </w:rPr>
            </w:pPr>
            <w:r>
              <w:rPr>
                <w:lang w:val="es-ES"/>
              </w:rPr>
              <w:t>40</w:t>
            </w:r>
          </w:p>
        </w:tc>
        <w:tc>
          <w:tcPr>
            <w:tcW w:w="1418" w:type="dxa"/>
            <w:vAlign w:val="center"/>
          </w:tcPr>
          <w:p w14:paraId="02780B58" w14:textId="77777777" w:rsidR="00182CC4" w:rsidRDefault="00182CC4" w:rsidP="00C2663B">
            <w:pPr>
              <w:rPr>
                <w:lang w:val="es-ES"/>
              </w:rPr>
            </w:pPr>
            <w:r>
              <w:rPr>
                <w:lang w:val="es-ES"/>
              </w:rPr>
              <w:t>1-10</w:t>
            </w:r>
          </w:p>
        </w:tc>
        <w:tc>
          <w:tcPr>
            <w:tcW w:w="4960" w:type="dxa"/>
            <w:vAlign w:val="center"/>
          </w:tcPr>
          <w:p w14:paraId="5257D69B" w14:textId="77777777" w:rsidR="00182CC4" w:rsidRPr="001C11EA" w:rsidRDefault="00182CC4" w:rsidP="00C2663B">
            <w:pPr>
              <w:jc w:val="both"/>
            </w:pPr>
            <w:r w:rsidRPr="001C11EA">
              <w:rPr>
                <w:b/>
                <w:bCs/>
              </w:rPr>
              <w:t>- Problem-solution fit:</w:t>
            </w:r>
            <w:r w:rsidRPr="001C11EA">
              <w:t xml:space="preserve"> Does the project address a real and significant </w:t>
            </w:r>
            <w:bookmarkStart w:id="12" w:name="_Hlk186717022"/>
            <w:r w:rsidRPr="001C11EA">
              <w:t>industry or market need</w:t>
            </w:r>
            <w:bookmarkEnd w:id="12"/>
            <w:r w:rsidRPr="001C11EA">
              <w:t>?</w:t>
            </w:r>
          </w:p>
          <w:p w14:paraId="0ED0D586" w14:textId="77777777" w:rsidR="00182CC4" w:rsidRPr="001C11EA" w:rsidRDefault="00182CC4" w:rsidP="00C2663B">
            <w:pPr>
              <w:jc w:val="both"/>
            </w:pPr>
            <w:r w:rsidRPr="001C11EA">
              <w:rPr>
                <w:b/>
                <w:bCs/>
              </w:rPr>
              <w:t>- Market potential</w:t>
            </w:r>
            <w:r w:rsidRPr="001C11EA">
              <w:t>: Is there evidence of market demand, customer interest, or commercial feasibility?</w:t>
            </w:r>
          </w:p>
          <w:p w14:paraId="7C9C3EA8" w14:textId="77777777" w:rsidR="00182CC4" w:rsidRPr="001C11EA" w:rsidRDefault="00182CC4" w:rsidP="00C2663B">
            <w:pPr>
              <w:jc w:val="both"/>
            </w:pPr>
            <w:r w:rsidRPr="001C11EA">
              <w:rPr>
                <w:b/>
                <w:bCs/>
              </w:rPr>
              <w:t>- Industry readiness:</w:t>
            </w:r>
            <w:r w:rsidRPr="001C11EA">
              <w:t xml:space="preserve"> Are there identified pathways for market entry (e.g., pilot tests, industry validation, partnerships)?</w:t>
            </w:r>
          </w:p>
          <w:p w14:paraId="111CB017" w14:textId="77777777" w:rsidR="00182CC4" w:rsidRPr="001C11EA" w:rsidRDefault="00182CC4" w:rsidP="00C2663B">
            <w:pPr>
              <w:jc w:val="both"/>
            </w:pPr>
            <w:r w:rsidRPr="001C11EA">
              <w:t xml:space="preserve">- </w:t>
            </w:r>
            <w:r w:rsidRPr="001C11EA">
              <w:rPr>
                <w:b/>
                <w:bCs/>
              </w:rPr>
              <w:t>Impact:</w:t>
            </w:r>
            <w:r w:rsidRPr="001C11EA">
              <w:t xml:space="preserve"> What is the </w:t>
            </w:r>
            <w:r>
              <w:t>technology’s expected economic, social, or environmental impact</w:t>
            </w:r>
            <w:r w:rsidRPr="001C11EA">
              <w:t>?</w:t>
            </w:r>
          </w:p>
        </w:tc>
      </w:tr>
      <w:tr w:rsidR="00182CC4" w:rsidRPr="00AE44BF" w14:paraId="466ED2CE" w14:textId="77777777" w:rsidTr="00C2663B">
        <w:trPr>
          <w:jc w:val="center"/>
        </w:trPr>
        <w:tc>
          <w:tcPr>
            <w:tcW w:w="1555" w:type="dxa"/>
            <w:shd w:val="clear" w:color="auto" w:fill="auto"/>
            <w:vAlign w:val="center"/>
          </w:tcPr>
          <w:p w14:paraId="43EA1372" w14:textId="77777777" w:rsidR="00182CC4" w:rsidRPr="00AE44BF" w:rsidRDefault="00182CC4" w:rsidP="00C2663B">
            <w:pPr>
              <w:rPr>
                <w:rFonts w:cs="Arial"/>
                <w:kern w:val="24"/>
                <w:lang w:val="en-US"/>
              </w:rPr>
            </w:pPr>
            <w:r w:rsidRPr="00AE44BF">
              <w:rPr>
                <w:rFonts w:cs="Arial"/>
                <w:kern w:val="24"/>
                <w:lang w:val="en-US"/>
              </w:rPr>
              <w:t>Novelty</w:t>
            </w:r>
            <w:r>
              <w:rPr>
                <w:rFonts w:cs="Arial"/>
                <w:kern w:val="24"/>
                <w:lang w:val="en-US"/>
              </w:rPr>
              <w:t xml:space="preserve"> and scientific quality</w:t>
            </w:r>
          </w:p>
        </w:tc>
        <w:tc>
          <w:tcPr>
            <w:tcW w:w="1417" w:type="dxa"/>
            <w:vAlign w:val="center"/>
          </w:tcPr>
          <w:p w14:paraId="05F8DD26" w14:textId="77777777" w:rsidR="00182CC4" w:rsidRDefault="00182CC4" w:rsidP="00C2663B">
            <w:pPr>
              <w:rPr>
                <w:lang w:val="es-ES"/>
              </w:rPr>
            </w:pPr>
            <w:r>
              <w:rPr>
                <w:lang w:val="es-ES"/>
              </w:rPr>
              <w:t>25</w:t>
            </w:r>
          </w:p>
        </w:tc>
        <w:tc>
          <w:tcPr>
            <w:tcW w:w="1418" w:type="dxa"/>
            <w:vAlign w:val="center"/>
          </w:tcPr>
          <w:p w14:paraId="3748C163" w14:textId="77777777" w:rsidR="00182CC4" w:rsidRDefault="00182CC4" w:rsidP="00C2663B">
            <w:pPr>
              <w:rPr>
                <w:lang w:val="es-ES"/>
              </w:rPr>
            </w:pPr>
            <w:r>
              <w:rPr>
                <w:lang w:val="es-ES"/>
              </w:rPr>
              <w:t>1-10</w:t>
            </w:r>
          </w:p>
        </w:tc>
        <w:tc>
          <w:tcPr>
            <w:tcW w:w="4960" w:type="dxa"/>
            <w:vAlign w:val="center"/>
          </w:tcPr>
          <w:p w14:paraId="7D2FD0D9" w14:textId="77777777" w:rsidR="00182CC4" w:rsidRDefault="00182CC4" w:rsidP="00C2663B">
            <w:pPr>
              <w:jc w:val="both"/>
            </w:pPr>
            <w:r>
              <w:t xml:space="preserve">- </w:t>
            </w:r>
            <w:r>
              <w:rPr>
                <w:rStyle w:val="Strong"/>
              </w:rPr>
              <w:t>Innovation</w:t>
            </w:r>
            <w:r>
              <w:t>: Does the project introduce a novel technology, method, or application?</w:t>
            </w:r>
          </w:p>
          <w:p w14:paraId="2E6C0587" w14:textId="77777777" w:rsidR="00182CC4" w:rsidRDefault="00182CC4" w:rsidP="00C2663B">
            <w:pPr>
              <w:jc w:val="both"/>
            </w:pPr>
            <w:r>
              <w:t xml:space="preserve">- </w:t>
            </w:r>
            <w:r>
              <w:rPr>
                <w:rStyle w:val="Strong"/>
              </w:rPr>
              <w:t>Scientific rigour</w:t>
            </w:r>
            <w:r>
              <w:t>: Does a solid technical/scientific foundation support the research?</w:t>
            </w:r>
          </w:p>
          <w:p w14:paraId="011CC6B7" w14:textId="77777777" w:rsidR="00182CC4" w:rsidRDefault="00182CC4" w:rsidP="00C2663B">
            <w:pPr>
              <w:jc w:val="both"/>
            </w:pPr>
            <w:r>
              <w:t xml:space="preserve">- </w:t>
            </w:r>
            <w:r>
              <w:rPr>
                <w:rStyle w:val="Strong"/>
              </w:rPr>
              <w:t>State of the art</w:t>
            </w:r>
            <w:r>
              <w:t xml:space="preserve">: </w:t>
            </w:r>
            <w:bookmarkStart w:id="13" w:name="_Hlk186718107"/>
            <w:r>
              <w:t>Does the project represent a significant improvement over existing technologies?</w:t>
            </w:r>
          </w:p>
          <w:bookmarkEnd w:id="13"/>
          <w:p w14:paraId="48001693" w14:textId="77777777" w:rsidR="00182CC4" w:rsidRPr="001C11EA" w:rsidRDefault="00182CC4" w:rsidP="00C2663B">
            <w:pPr>
              <w:jc w:val="both"/>
            </w:pPr>
            <w:r>
              <w:t xml:space="preserve">- </w:t>
            </w:r>
            <w:r>
              <w:rPr>
                <w:rStyle w:val="Strong"/>
              </w:rPr>
              <w:t>Technical feasibility</w:t>
            </w:r>
            <w:r>
              <w:t>: Are the proposed technical solutions realistic and achievable within the proposed timeframe?</w:t>
            </w:r>
          </w:p>
        </w:tc>
      </w:tr>
      <w:tr w:rsidR="00182CC4" w:rsidRPr="00AE44BF" w14:paraId="49E1222D" w14:textId="77777777" w:rsidTr="00C2663B">
        <w:trPr>
          <w:jc w:val="center"/>
        </w:trPr>
        <w:tc>
          <w:tcPr>
            <w:tcW w:w="1555" w:type="dxa"/>
            <w:shd w:val="clear" w:color="auto" w:fill="auto"/>
            <w:vAlign w:val="center"/>
          </w:tcPr>
          <w:p w14:paraId="249A0021" w14:textId="77777777" w:rsidR="00182CC4" w:rsidRPr="001C11EA" w:rsidRDefault="00182CC4" w:rsidP="00C2663B">
            <w:r>
              <w:rPr>
                <w:rFonts w:cs="Arial"/>
                <w:kern w:val="24"/>
                <w:lang w:val="en-US"/>
              </w:rPr>
              <w:t>Team, w</w:t>
            </w:r>
            <w:r w:rsidRPr="00AE44BF">
              <w:rPr>
                <w:rFonts w:cs="Arial"/>
                <w:kern w:val="24"/>
                <w:lang w:val="en-US"/>
              </w:rPr>
              <w:t>ork plan</w:t>
            </w:r>
            <w:r>
              <w:rPr>
                <w:rFonts w:cs="Arial"/>
                <w:kern w:val="24"/>
                <w:lang w:val="en-US"/>
              </w:rPr>
              <w:t xml:space="preserve"> and feasibility</w:t>
            </w:r>
          </w:p>
        </w:tc>
        <w:tc>
          <w:tcPr>
            <w:tcW w:w="1417" w:type="dxa"/>
            <w:vAlign w:val="center"/>
          </w:tcPr>
          <w:p w14:paraId="4303BCEB" w14:textId="77777777" w:rsidR="00182CC4" w:rsidRPr="00AE44BF" w:rsidRDefault="00182CC4" w:rsidP="00C2663B">
            <w:pPr>
              <w:rPr>
                <w:lang w:val="es-ES"/>
              </w:rPr>
            </w:pPr>
            <w:r>
              <w:rPr>
                <w:lang w:val="es-ES"/>
              </w:rPr>
              <w:t>25</w:t>
            </w:r>
          </w:p>
        </w:tc>
        <w:tc>
          <w:tcPr>
            <w:tcW w:w="1418" w:type="dxa"/>
            <w:vAlign w:val="center"/>
          </w:tcPr>
          <w:p w14:paraId="01734F6D" w14:textId="77777777" w:rsidR="00182CC4" w:rsidRDefault="00182CC4" w:rsidP="00C2663B">
            <w:pPr>
              <w:rPr>
                <w:lang w:val="es-ES"/>
              </w:rPr>
            </w:pPr>
            <w:r>
              <w:rPr>
                <w:lang w:val="es-ES"/>
              </w:rPr>
              <w:t>1-10</w:t>
            </w:r>
          </w:p>
        </w:tc>
        <w:tc>
          <w:tcPr>
            <w:tcW w:w="4960" w:type="dxa"/>
            <w:vAlign w:val="center"/>
          </w:tcPr>
          <w:p w14:paraId="3FBACA16" w14:textId="77777777" w:rsidR="00182CC4" w:rsidRDefault="00182CC4" w:rsidP="00C2663B">
            <w:pPr>
              <w:jc w:val="both"/>
            </w:pPr>
            <w:r>
              <w:t xml:space="preserve">- </w:t>
            </w:r>
            <w:r>
              <w:rPr>
                <w:rStyle w:val="Strong"/>
              </w:rPr>
              <w:t>Team</w:t>
            </w:r>
            <w:r>
              <w:t>: Does the team have the necessary time, skills, qualifications, and experience to execute the project successfully? Is their level of involvement described? Is it reasonable and realistic?</w:t>
            </w:r>
            <w:r>
              <w:br/>
              <w:t xml:space="preserve">- </w:t>
            </w:r>
            <w:r>
              <w:rPr>
                <w:rStyle w:val="Strong"/>
              </w:rPr>
              <w:t>Work plan</w:t>
            </w:r>
            <w:r>
              <w:t xml:space="preserve">: Are the objectives, milestones, and tasks well-defined, realistic, and achievable within the proposed timeframe? </w:t>
            </w:r>
          </w:p>
          <w:p w14:paraId="7BE77E63" w14:textId="77777777" w:rsidR="00182CC4" w:rsidRDefault="00182CC4" w:rsidP="00C2663B">
            <w:pPr>
              <w:jc w:val="both"/>
            </w:pPr>
            <w:r>
              <w:t xml:space="preserve">- </w:t>
            </w:r>
            <w:r>
              <w:rPr>
                <w:rStyle w:val="Strong"/>
              </w:rPr>
              <w:t>Resource allocation</w:t>
            </w:r>
            <w:r>
              <w:t>: Is the budget reasonable, justified, and aligned with the project goals? Are the costs eligible under this call?</w:t>
            </w:r>
          </w:p>
          <w:p w14:paraId="7AE8A3CE" w14:textId="77777777" w:rsidR="00182CC4" w:rsidRPr="001C11EA" w:rsidRDefault="00182CC4" w:rsidP="00C2663B">
            <w:pPr>
              <w:jc w:val="both"/>
            </w:pPr>
            <w:r>
              <w:lastRenderedPageBreak/>
              <w:t xml:space="preserve">- </w:t>
            </w:r>
            <w:r>
              <w:rPr>
                <w:rStyle w:val="Strong"/>
              </w:rPr>
              <w:t>Risk management</w:t>
            </w:r>
            <w:r>
              <w:t>: Are the main risks identified with mitigation/contingency plans defined?</w:t>
            </w:r>
          </w:p>
        </w:tc>
      </w:tr>
      <w:tr w:rsidR="00182CC4" w:rsidRPr="00AE44BF" w14:paraId="6B12C258" w14:textId="77777777" w:rsidTr="00C2663B">
        <w:trPr>
          <w:jc w:val="center"/>
        </w:trPr>
        <w:tc>
          <w:tcPr>
            <w:tcW w:w="1555" w:type="dxa"/>
            <w:shd w:val="clear" w:color="auto" w:fill="auto"/>
            <w:vAlign w:val="center"/>
          </w:tcPr>
          <w:p w14:paraId="5CE8FA6D" w14:textId="77777777" w:rsidR="00182CC4" w:rsidRPr="001C11EA" w:rsidRDefault="00182CC4" w:rsidP="00C2663B">
            <w:r w:rsidRPr="00AE44BF">
              <w:rPr>
                <w:rFonts w:cs="Arial"/>
                <w:kern w:val="24"/>
                <w:lang w:val="en-US"/>
              </w:rPr>
              <w:lastRenderedPageBreak/>
              <w:t xml:space="preserve">TRL and </w:t>
            </w:r>
            <w:r>
              <w:rPr>
                <w:rFonts w:cs="Arial"/>
                <w:kern w:val="24"/>
                <w:lang w:val="en-US"/>
              </w:rPr>
              <w:t>IP</w:t>
            </w:r>
            <w:r w:rsidRPr="00AE44BF">
              <w:rPr>
                <w:rFonts w:cs="Arial"/>
                <w:kern w:val="24"/>
                <w:lang w:val="en-US"/>
              </w:rPr>
              <w:t xml:space="preserve"> status</w:t>
            </w:r>
            <w:r>
              <w:rPr>
                <w:rFonts w:cs="Arial"/>
                <w:kern w:val="24"/>
                <w:lang w:val="en-US"/>
              </w:rPr>
              <w:t xml:space="preserve"> and progression</w:t>
            </w:r>
          </w:p>
        </w:tc>
        <w:tc>
          <w:tcPr>
            <w:tcW w:w="1417" w:type="dxa"/>
            <w:vAlign w:val="center"/>
          </w:tcPr>
          <w:p w14:paraId="70DC1EE1" w14:textId="77777777" w:rsidR="00182CC4" w:rsidRPr="00AE44BF" w:rsidRDefault="00182CC4" w:rsidP="00C2663B">
            <w:pPr>
              <w:rPr>
                <w:lang w:val="es-ES"/>
              </w:rPr>
            </w:pPr>
            <w:r>
              <w:rPr>
                <w:lang w:val="es-ES"/>
              </w:rPr>
              <w:t>10</w:t>
            </w:r>
          </w:p>
        </w:tc>
        <w:tc>
          <w:tcPr>
            <w:tcW w:w="1418" w:type="dxa"/>
            <w:vAlign w:val="center"/>
          </w:tcPr>
          <w:p w14:paraId="4799A489" w14:textId="77777777" w:rsidR="00182CC4" w:rsidRDefault="00182CC4" w:rsidP="00C2663B">
            <w:pPr>
              <w:rPr>
                <w:lang w:val="es-ES"/>
              </w:rPr>
            </w:pPr>
            <w:r>
              <w:rPr>
                <w:lang w:val="es-ES"/>
              </w:rPr>
              <w:t>1-10</w:t>
            </w:r>
          </w:p>
        </w:tc>
        <w:tc>
          <w:tcPr>
            <w:tcW w:w="4960" w:type="dxa"/>
            <w:vAlign w:val="center"/>
          </w:tcPr>
          <w:p w14:paraId="6C49ECEA" w14:textId="77777777" w:rsidR="00182CC4" w:rsidRPr="001C11EA" w:rsidRDefault="00182CC4" w:rsidP="00C2663B">
            <w:pPr>
              <w:jc w:val="both"/>
            </w:pPr>
            <w:r>
              <w:t xml:space="preserve">- </w:t>
            </w:r>
            <w:r>
              <w:rPr>
                <w:rStyle w:val="Strong"/>
              </w:rPr>
              <w:t>Current TRL</w:t>
            </w:r>
            <w:r>
              <w:t xml:space="preserve">: Is the project within the expected TRL range? Is the TRL progression feasible and justified? </w:t>
            </w:r>
            <w:r>
              <w:br/>
              <w:t xml:space="preserve">- </w:t>
            </w:r>
            <w:r>
              <w:rPr>
                <w:rStyle w:val="Strong"/>
              </w:rPr>
              <w:t>IP status</w:t>
            </w:r>
            <w:r>
              <w:t xml:space="preserve">: Is an existing IP strategy described and justified (e.g., patent filed or planned)? </w:t>
            </w:r>
            <w:r>
              <w:br/>
              <w:t xml:space="preserve">- </w:t>
            </w:r>
            <w:r>
              <w:rPr>
                <w:rStyle w:val="Strong"/>
              </w:rPr>
              <w:t>IP progression</w:t>
            </w:r>
            <w:r>
              <w:t xml:space="preserve">: Does the project propose steps to advance the IP status (e.g., patent application, trade secret)? </w:t>
            </w:r>
          </w:p>
        </w:tc>
      </w:tr>
    </w:tbl>
    <w:p w14:paraId="49B69531" w14:textId="77777777" w:rsidR="00182CC4" w:rsidRPr="001C11EA" w:rsidRDefault="00182CC4" w:rsidP="00182CC4">
      <w:pPr>
        <w:rPr>
          <w:i/>
          <w:iCs/>
          <w:sz w:val="16"/>
          <w:szCs w:val="16"/>
        </w:rPr>
      </w:pPr>
    </w:p>
    <w:p w14:paraId="7C864FF0" w14:textId="77777777" w:rsidR="00182CC4" w:rsidRPr="00B20323" w:rsidRDefault="00182CC4" w:rsidP="00182CC4">
      <w:pPr>
        <w:rPr>
          <w:lang w:val="es-ES"/>
        </w:rPr>
      </w:pPr>
      <w:r>
        <w:rPr>
          <w:lang w:val="es-ES"/>
        </w:rPr>
        <w:t>Evaluation</w:t>
      </w:r>
      <w:r w:rsidRPr="00B20323">
        <w:rPr>
          <w:lang w:val="es-ES"/>
        </w:rPr>
        <w:t xml:space="preserve"> </w:t>
      </w:r>
      <w:r>
        <w:rPr>
          <w:lang w:val="es-ES"/>
        </w:rPr>
        <w:t>p</w:t>
      </w:r>
      <w:r w:rsidRPr="00B20323">
        <w:rPr>
          <w:lang w:val="es-ES"/>
        </w:rPr>
        <w:t>rocess</w:t>
      </w:r>
      <w:r>
        <w:rPr>
          <w:lang w:val="es-ES"/>
        </w:rPr>
        <w:t>:</w:t>
      </w:r>
    </w:p>
    <w:p w14:paraId="47B5B3E8" w14:textId="77777777" w:rsidR="00182CC4" w:rsidRPr="001C11EA" w:rsidRDefault="00182CC4" w:rsidP="00182CC4">
      <w:pPr>
        <w:pStyle w:val="ListParagraph"/>
        <w:numPr>
          <w:ilvl w:val="0"/>
          <w:numId w:val="10"/>
        </w:numPr>
        <w:jc w:val="both"/>
      </w:pPr>
      <w:r w:rsidRPr="001C11EA">
        <w:t>Individual review: each evaluator assesses the proposal independently using the criteria and subcriteria above.</w:t>
      </w:r>
    </w:p>
    <w:p w14:paraId="20C39FBA" w14:textId="77777777" w:rsidR="00182CC4" w:rsidRPr="001C11EA" w:rsidRDefault="00182CC4" w:rsidP="00182CC4">
      <w:pPr>
        <w:pStyle w:val="ListParagraph"/>
        <w:numPr>
          <w:ilvl w:val="0"/>
          <w:numId w:val="10"/>
        </w:numPr>
        <w:jc w:val="both"/>
      </w:pPr>
      <w:r w:rsidRPr="001C11EA">
        <w:t>Consolidated scoring: scores are averaged across reviewers to ensure objectivity.</w:t>
      </w:r>
    </w:p>
    <w:p w14:paraId="0BD37140" w14:textId="77777777" w:rsidR="00182CC4" w:rsidRPr="001C11EA" w:rsidRDefault="00182CC4" w:rsidP="00182CC4">
      <w:pPr>
        <w:shd w:val="clear" w:color="auto" w:fill="D9D9D9" w:themeFill="background1" w:themeFillShade="D9"/>
        <w:rPr>
          <w:b/>
          <w:bCs/>
        </w:rPr>
      </w:pPr>
      <w:r w:rsidRPr="001C11EA">
        <w:rPr>
          <w:b/>
          <w:bCs/>
        </w:rPr>
        <w:t>ACCEPTANCE</w:t>
      </w:r>
    </w:p>
    <w:p w14:paraId="49AC4D16" w14:textId="77777777" w:rsidR="00182CC4" w:rsidRPr="001C11EA" w:rsidRDefault="00182CC4" w:rsidP="00182CC4">
      <w:pPr>
        <w:jc w:val="both"/>
      </w:pPr>
      <w:r w:rsidRPr="001C11EA">
        <w:t>The applicant and their PI, if needed, will sign a project acceptance document, which they will commit to carrying out the project following the guidelines described in this document.</w:t>
      </w:r>
    </w:p>
    <w:p w14:paraId="72161E9B" w14:textId="77777777" w:rsidR="00182CC4" w:rsidRPr="00B5311F" w:rsidRDefault="00182CC4" w:rsidP="00182CC4">
      <w:pPr>
        <w:shd w:val="clear" w:color="auto" w:fill="D9D9D9" w:themeFill="background1" w:themeFillShade="D9"/>
        <w:rPr>
          <w:b/>
          <w:bCs/>
          <w:lang w:val="es-ES"/>
        </w:rPr>
      </w:pPr>
      <w:r>
        <w:rPr>
          <w:b/>
          <w:bCs/>
          <w:lang w:val="es-ES"/>
        </w:rPr>
        <w:t>DELIVERABLES</w:t>
      </w:r>
    </w:p>
    <w:p w14:paraId="55A10370" w14:textId="77777777" w:rsidR="00182CC4" w:rsidRPr="001C11EA" w:rsidRDefault="00182CC4" w:rsidP="00182CC4">
      <w:pPr>
        <w:pStyle w:val="ListParagraph"/>
        <w:numPr>
          <w:ilvl w:val="0"/>
          <w:numId w:val="6"/>
        </w:numPr>
        <w:jc w:val="both"/>
      </w:pPr>
      <w:r w:rsidRPr="001C11EA">
        <w:t xml:space="preserve">The applicant commits to deliver an </w:t>
      </w:r>
      <w:r w:rsidRPr="007273DE">
        <w:rPr>
          <w:b/>
          <w:bCs/>
        </w:rPr>
        <w:t>early-stage deliverable</w:t>
      </w:r>
      <w:r w:rsidRPr="007273DE">
        <w:t xml:space="preserve"> summarising the work, conclusions and recommendations of the </w:t>
      </w:r>
      <w:r>
        <w:rPr>
          <w:b/>
          <w:bCs/>
        </w:rPr>
        <w:t>support</w:t>
      </w:r>
      <w:r w:rsidRPr="007273DE">
        <w:rPr>
          <w:b/>
          <w:bCs/>
        </w:rPr>
        <w:t xml:space="preserve"> from the external consultancy</w:t>
      </w:r>
      <w:r w:rsidRPr="007273DE">
        <w:t xml:space="preserve"> </w:t>
      </w:r>
      <w:r w:rsidRPr="001C11EA">
        <w:t xml:space="preserve">to </w:t>
      </w:r>
      <w:hyperlink r:id="rId11" w:history="1">
        <w:r w:rsidRPr="001C11EA">
          <w:rPr>
            <w:rStyle w:val="Hyperlink"/>
          </w:rPr>
          <w:t>techtransfer.materials@imdea.org</w:t>
        </w:r>
      </w:hyperlink>
      <w:r w:rsidRPr="001C11EA">
        <w:rPr>
          <w:b/>
          <w:bCs/>
        </w:rPr>
        <w:t xml:space="preserve"> </w:t>
      </w:r>
      <w:r w:rsidRPr="001C11EA">
        <w:t xml:space="preserve">(to be delivered within 15 days after the end of the </w:t>
      </w:r>
      <w:r>
        <w:t>support from the consultancy</w:t>
      </w:r>
      <w:r w:rsidRPr="001C11EA">
        <w:t>).</w:t>
      </w:r>
    </w:p>
    <w:p w14:paraId="1D0DC584" w14:textId="77777777" w:rsidR="00182CC4" w:rsidRPr="001C11EA" w:rsidRDefault="00182CC4" w:rsidP="00182CC4">
      <w:pPr>
        <w:pStyle w:val="ListParagraph"/>
        <w:numPr>
          <w:ilvl w:val="0"/>
          <w:numId w:val="6"/>
        </w:numPr>
        <w:jc w:val="both"/>
      </w:pPr>
      <w:r w:rsidRPr="001C11EA">
        <w:t>The applicant commits to deliver a</w:t>
      </w:r>
      <w:r w:rsidRPr="001C11EA">
        <w:rPr>
          <w:b/>
          <w:bCs/>
        </w:rPr>
        <w:t xml:space="preserve"> final report</w:t>
      </w:r>
      <w:r w:rsidRPr="001C11EA">
        <w:t xml:space="preserve">, including </w:t>
      </w:r>
      <w:r w:rsidRPr="001C11EA">
        <w:rPr>
          <w:b/>
          <w:bCs/>
        </w:rPr>
        <w:t>results</w:t>
      </w:r>
      <w:r w:rsidRPr="001C11EA">
        <w:t xml:space="preserve">, </w:t>
      </w:r>
      <w:r w:rsidRPr="00D43CB7">
        <w:rPr>
          <w:b/>
          <w:bCs/>
        </w:rPr>
        <w:t>customer discovery</w:t>
      </w:r>
      <w:r>
        <w:t xml:space="preserve"> and </w:t>
      </w:r>
      <w:r w:rsidRPr="007B67D7">
        <w:rPr>
          <w:b/>
          <w:bCs/>
        </w:rPr>
        <w:t>industry feedback</w:t>
      </w:r>
      <w:r w:rsidRPr="001C11EA">
        <w:t xml:space="preserve">, a </w:t>
      </w:r>
      <w:r w:rsidRPr="001C11EA">
        <w:rPr>
          <w:b/>
          <w:bCs/>
        </w:rPr>
        <w:t>future development roadmap</w:t>
      </w:r>
      <w:r w:rsidRPr="001C11EA">
        <w:t xml:space="preserve"> and a summary of </w:t>
      </w:r>
      <w:r>
        <w:t xml:space="preserve">the </w:t>
      </w:r>
      <w:r w:rsidRPr="001C11EA">
        <w:t xml:space="preserve">activities performed to </w:t>
      </w:r>
      <w:hyperlink r:id="rId12" w:history="1">
        <w:r w:rsidRPr="001C11EA">
          <w:rPr>
            <w:rStyle w:val="Hyperlink"/>
          </w:rPr>
          <w:t>techtransfer.materials@imdea.org</w:t>
        </w:r>
      </w:hyperlink>
      <w:r w:rsidRPr="001C11EA">
        <w:rPr>
          <w:b/>
          <w:bCs/>
        </w:rPr>
        <w:t xml:space="preserve"> </w:t>
      </w:r>
      <w:r w:rsidRPr="001C11EA">
        <w:t xml:space="preserve">(to be delivered </w:t>
      </w:r>
      <w:bookmarkStart w:id="14" w:name="_Hlk187654498"/>
      <w:r w:rsidRPr="001C11EA">
        <w:t>within the last 15 days of the project</w:t>
      </w:r>
      <w:bookmarkEnd w:id="14"/>
      <w:r w:rsidRPr="001C11EA">
        <w:t>).</w:t>
      </w:r>
    </w:p>
    <w:p w14:paraId="345F2D06" w14:textId="77777777" w:rsidR="00182CC4" w:rsidRPr="001C11EA" w:rsidRDefault="00182CC4" w:rsidP="00182CC4">
      <w:pPr>
        <w:pStyle w:val="ListParagraph"/>
        <w:numPr>
          <w:ilvl w:val="0"/>
          <w:numId w:val="6"/>
        </w:numPr>
        <w:jc w:val="both"/>
      </w:pPr>
      <w:r w:rsidRPr="001C11EA">
        <w:t>The applicant commits to deliver</w:t>
      </w:r>
      <w:r w:rsidRPr="001C11EA">
        <w:rPr>
          <w:b/>
          <w:bCs/>
        </w:rPr>
        <w:t xml:space="preserve"> presentations to relevant stakeholders</w:t>
      </w:r>
      <w:r w:rsidRPr="001C11EA">
        <w:t>, including IMDEA Materials</w:t>
      </w:r>
      <w:r>
        <w:t>’</w:t>
      </w:r>
      <w:r w:rsidRPr="001C11EA">
        <w:t xml:space="preserve"> annual meeting, IMDEA Materials</w:t>
      </w:r>
      <w:r>
        <w:t>’</w:t>
      </w:r>
      <w:r w:rsidRPr="001C11EA">
        <w:t xml:space="preserve"> Industrial Advisory Board (IAB) meetings and other events flagged by the TTIO during and after the project execution period.</w:t>
      </w:r>
    </w:p>
    <w:bookmarkEnd w:id="1"/>
    <w:p w14:paraId="424F1160" w14:textId="77777777" w:rsidR="00182CC4" w:rsidRPr="001C11EA" w:rsidRDefault="00182CC4" w:rsidP="00182CC4">
      <w:pPr>
        <w:shd w:val="clear" w:color="auto" w:fill="D9D9D9" w:themeFill="background1" w:themeFillShade="D9"/>
        <w:rPr>
          <w:b/>
          <w:bCs/>
        </w:rPr>
      </w:pPr>
      <w:r w:rsidRPr="001C11EA">
        <w:rPr>
          <w:b/>
          <w:bCs/>
        </w:rPr>
        <w:t>IMDEA MATERIALS IP POLICY</w:t>
      </w:r>
    </w:p>
    <w:p w14:paraId="6E5A73AD" w14:textId="77777777" w:rsidR="00182CC4" w:rsidRDefault="00182CC4" w:rsidP="00182CC4">
      <w:pPr>
        <w:jc w:val="both"/>
      </w:pPr>
      <w:r w:rsidRPr="001C11EA">
        <w:t>Projects under this call are subjected to IMDEA Materials</w:t>
      </w:r>
      <w:r>
        <w:t>’</w:t>
      </w:r>
      <w:r w:rsidRPr="001C11EA">
        <w:t xml:space="preserve"> </w:t>
      </w:r>
      <w:r w:rsidRPr="005D31C0">
        <w:t>IP policy</w:t>
      </w:r>
      <w:r w:rsidRPr="001C11EA">
        <w:t xml:space="preserve">, regulating, amongst others, the communication, ownership and protection of results and </w:t>
      </w:r>
      <w:r w:rsidRPr="005D31C0">
        <w:t>distribution of net profit.</w:t>
      </w:r>
    </w:p>
    <w:p w14:paraId="1F14B1F4" w14:textId="77777777" w:rsidR="00182CC4" w:rsidRPr="00DA2E4B" w:rsidRDefault="00182CC4" w:rsidP="00182CC4">
      <w:pPr>
        <w:jc w:val="both"/>
        <w:rPr>
          <w:i/>
          <w:iCs/>
        </w:rPr>
      </w:pPr>
      <w:r w:rsidRPr="00DA2E4B">
        <w:rPr>
          <w:i/>
          <w:iCs/>
        </w:rPr>
        <w:t>IMDEA Materials reserves the right to modify the rules to improve the development of the call for proposals.</w:t>
      </w:r>
    </w:p>
    <w:p w14:paraId="6CE4E10B" w14:textId="56FE24E8" w:rsidR="00CD1C44" w:rsidRDefault="00CD1C44" w:rsidP="006446A8">
      <w:pPr>
        <w:jc w:val="both"/>
      </w:pPr>
    </w:p>
    <w:p w14:paraId="71F60E83" w14:textId="4A258C6A" w:rsidR="001B74B9" w:rsidRDefault="001B74B9" w:rsidP="00CD1C44">
      <w:pPr>
        <w:jc w:val="center"/>
      </w:pPr>
      <w:r>
        <w:br w:type="page"/>
      </w:r>
    </w:p>
    <w:p w14:paraId="418CC8D1" w14:textId="77777777" w:rsidR="001B74B9" w:rsidRDefault="001B74B9" w:rsidP="001B74B9">
      <w:pPr>
        <w:jc w:val="center"/>
        <w:rPr>
          <w:b/>
          <w:bCs/>
        </w:rPr>
      </w:pPr>
    </w:p>
    <w:p w14:paraId="1D8591C8" w14:textId="1210D936" w:rsidR="001B74B9" w:rsidRPr="006446A8" w:rsidRDefault="001B74B9" w:rsidP="001B74B9">
      <w:pPr>
        <w:jc w:val="center"/>
        <w:rPr>
          <w:b/>
          <w:bCs/>
        </w:rPr>
      </w:pPr>
      <w:r w:rsidRPr="00CD1C44">
        <w:rPr>
          <w:b/>
          <w:bCs/>
        </w:rPr>
        <w:t>Annexe</w:t>
      </w:r>
      <w:r>
        <w:rPr>
          <w:b/>
          <w:bCs/>
        </w:rPr>
        <w:t xml:space="preserve"> II</w:t>
      </w:r>
      <w:r w:rsidRPr="006446A8">
        <w:rPr>
          <w:b/>
          <w:bCs/>
        </w:rPr>
        <w:t>: Proposal submitted by the Applicant to IMDEA Materials Institute proof-of-concept (PoC) call 2025</w:t>
      </w:r>
    </w:p>
    <w:p w14:paraId="1D88A097" w14:textId="0332E28C" w:rsidR="001B74B9" w:rsidRPr="002F0D40" w:rsidRDefault="006446A8" w:rsidP="006446A8">
      <w:pPr>
        <w:jc w:val="both"/>
      </w:pPr>
      <w:r w:rsidRPr="006446A8">
        <w:rPr>
          <w:highlight w:val="yellow"/>
        </w:rPr>
        <w:t>Proposal submitted here</w:t>
      </w:r>
      <w:r>
        <w:t xml:space="preserve"> </w:t>
      </w:r>
    </w:p>
    <w:sectPr w:rsidR="001B74B9" w:rsidRPr="002F0D40" w:rsidSect="00B5337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F2F4" w14:textId="77777777" w:rsidR="005F41F9" w:rsidRDefault="005F41F9" w:rsidP="00B20323">
      <w:pPr>
        <w:spacing w:after="0" w:line="240" w:lineRule="auto"/>
      </w:pPr>
      <w:r>
        <w:separator/>
      </w:r>
    </w:p>
  </w:endnote>
  <w:endnote w:type="continuationSeparator" w:id="0">
    <w:p w14:paraId="2BA51C78" w14:textId="77777777" w:rsidR="005F41F9" w:rsidRDefault="005F41F9" w:rsidP="00B2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D579" w14:textId="77777777" w:rsidR="003F18F6" w:rsidRDefault="003F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C679" w14:textId="1A700917" w:rsidR="003F18F6" w:rsidRDefault="003F18F6" w:rsidP="003F18F6">
    <w:pPr>
      <w:pStyle w:val="Footer"/>
      <w:jc w:val="center"/>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F76D" w14:textId="77777777" w:rsidR="003F18F6" w:rsidRDefault="003F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9974" w14:textId="77777777" w:rsidR="005F41F9" w:rsidRDefault="005F41F9" w:rsidP="00B20323">
      <w:pPr>
        <w:spacing w:after="0" w:line="240" w:lineRule="auto"/>
      </w:pPr>
      <w:r>
        <w:separator/>
      </w:r>
    </w:p>
  </w:footnote>
  <w:footnote w:type="continuationSeparator" w:id="0">
    <w:p w14:paraId="55AD0B37" w14:textId="77777777" w:rsidR="005F41F9" w:rsidRDefault="005F41F9" w:rsidP="00B20323">
      <w:pPr>
        <w:spacing w:after="0" w:line="240" w:lineRule="auto"/>
      </w:pPr>
      <w:r>
        <w:continuationSeparator/>
      </w:r>
    </w:p>
  </w:footnote>
  <w:footnote w:id="1">
    <w:p w14:paraId="426DEDDC" w14:textId="2A956101" w:rsidR="003F18F6" w:rsidRPr="003F18F6" w:rsidRDefault="003F18F6" w:rsidP="00B53373">
      <w:pPr>
        <w:pStyle w:val="FootnoteText"/>
        <w:jc w:val="both"/>
      </w:pPr>
      <w:r w:rsidRPr="003F18F6">
        <w:rPr>
          <w:rStyle w:val="FootnoteReference"/>
          <w:sz w:val="16"/>
          <w:szCs w:val="16"/>
        </w:rPr>
        <w:footnoteRef/>
      </w:r>
      <w:r w:rsidRPr="003F18F6">
        <w:rPr>
          <w:sz w:val="16"/>
          <w:szCs w:val="16"/>
        </w:rPr>
        <w:t xml:space="preserve"> Name, Surname and Professional category (</w:t>
      </w:r>
      <w:r>
        <w:rPr>
          <w:sz w:val="16"/>
          <w:szCs w:val="16"/>
        </w:rPr>
        <w:t>Research Assistant, Research Associate, etc.)</w:t>
      </w:r>
      <w:r w:rsidR="00B53373">
        <w:rPr>
          <w:sz w:val="16"/>
          <w:szCs w:val="16"/>
        </w:rPr>
        <w:t>.</w:t>
      </w:r>
    </w:p>
  </w:footnote>
  <w:footnote w:id="2">
    <w:p w14:paraId="7EBA51B9" w14:textId="726C752A" w:rsidR="004853A2" w:rsidRPr="006446A8" w:rsidRDefault="004853A2" w:rsidP="004853A2">
      <w:pPr>
        <w:pStyle w:val="FootnoteText"/>
        <w:jc w:val="both"/>
      </w:pPr>
      <w:r>
        <w:rPr>
          <w:rStyle w:val="FootnoteReference"/>
        </w:rPr>
        <w:footnoteRef/>
      </w:r>
      <w:r>
        <w:t xml:space="preserve"> </w:t>
      </w:r>
      <w:r w:rsidRPr="004853A2">
        <w:rPr>
          <w:sz w:val="16"/>
          <w:szCs w:val="16"/>
        </w:rPr>
        <w:t>PI approval is required if the Applicant is not the Principal Investigator of their research group.</w:t>
      </w:r>
      <w:r>
        <w:rPr>
          <w:sz w:val="16"/>
          <w:szCs w:val="16"/>
        </w:rPr>
        <w:t xml:space="preserve"> </w:t>
      </w:r>
      <w:r w:rsidRPr="004853A2">
        <w:rPr>
          <w:sz w:val="16"/>
          <w:szCs w:val="16"/>
        </w:rPr>
        <w:t xml:space="preserve">If the contractual employment relationship of the Applicant with IMDEA Materials Institute doesn’t cover the whole project execution period, by signing this document the PI </w:t>
      </w:r>
      <w:r w:rsidRPr="004853A2">
        <w:rPr>
          <w:b/>
          <w:bCs/>
          <w:sz w:val="16"/>
          <w:szCs w:val="16"/>
        </w:rPr>
        <w:t>commits</w:t>
      </w:r>
      <w:r w:rsidRPr="004853A2">
        <w:rPr>
          <w:sz w:val="16"/>
          <w:szCs w:val="16"/>
        </w:rPr>
        <w:t xml:space="preserve"> to extend their contract during that period in case the related salary cost is not budgeted </w:t>
      </w:r>
      <w:r w:rsidR="007D2460">
        <w:rPr>
          <w:sz w:val="16"/>
          <w:szCs w:val="16"/>
        </w:rPr>
        <w:t xml:space="preserve">and covered </w:t>
      </w:r>
      <w:r w:rsidRPr="004853A2">
        <w:rPr>
          <w:sz w:val="16"/>
          <w:szCs w:val="16"/>
        </w:rPr>
        <w:t xml:space="preserve">within </w:t>
      </w:r>
      <w:r>
        <w:rPr>
          <w:sz w:val="16"/>
          <w:szCs w:val="16"/>
        </w:rPr>
        <w:t>the project.</w:t>
      </w:r>
    </w:p>
  </w:footnote>
  <w:footnote w:id="3">
    <w:p w14:paraId="32E38C38" w14:textId="77777777" w:rsidR="00182CC4" w:rsidRPr="001C11EA" w:rsidRDefault="00182CC4" w:rsidP="00182CC4">
      <w:pPr>
        <w:spacing w:after="0"/>
        <w:jc w:val="both"/>
        <w:rPr>
          <w:sz w:val="16"/>
          <w:szCs w:val="16"/>
        </w:rPr>
      </w:pPr>
      <w:r>
        <w:rPr>
          <w:rStyle w:val="FootnoteReference"/>
        </w:rPr>
        <w:footnoteRef/>
      </w:r>
      <w:r>
        <w:t xml:space="preserve"> </w:t>
      </w:r>
      <w:r w:rsidRPr="001C11EA">
        <w:rPr>
          <w:sz w:val="16"/>
          <w:szCs w:val="16"/>
        </w:rPr>
        <w:t>Each crite</w:t>
      </w:r>
      <w:r>
        <w:rPr>
          <w:sz w:val="16"/>
          <w:szCs w:val="16"/>
        </w:rPr>
        <w:t>ria</w:t>
      </w:r>
      <w:r w:rsidRPr="001C11EA">
        <w:rPr>
          <w:sz w:val="16"/>
          <w:szCs w:val="16"/>
        </w:rPr>
        <w:t xml:space="preserve"> is scored on a scale of 1 to 10, where: </w:t>
      </w:r>
    </w:p>
    <w:p w14:paraId="5E8709EC" w14:textId="77777777" w:rsidR="00182CC4" w:rsidRPr="001C11EA" w:rsidRDefault="00182CC4" w:rsidP="00182CC4">
      <w:pPr>
        <w:pStyle w:val="ListParagraph"/>
        <w:numPr>
          <w:ilvl w:val="0"/>
          <w:numId w:val="9"/>
        </w:numPr>
        <w:jc w:val="both"/>
        <w:rPr>
          <w:sz w:val="16"/>
          <w:szCs w:val="16"/>
        </w:rPr>
      </w:pPr>
      <w:r w:rsidRPr="001C11EA">
        <w:rPr>
          <w:sz w:val="16"/>
          <w:szCs w:val="16"/>
        </w:rPr>
        <w:t>1–3: Poor – Criterion is insufficiently addressed or lacks clarity and justification</w:t>
      </w:r>
    </w:p>
    <w:p w14:paraId="7D948ACE" w14:textId="77777777" w:rsidR="00182CC4" w:rsidRPr="001C11EA" w:rsidRDefault="00182CC4" w:rsidP="00182CC4">
      <w:pPr>
        <w:pStyle w:val="ListParagraph"/>
        <w:numPr>
          <w:ilvl w:val="0"/>
          <w:numId w:val="9"/>
        </w:numPr>
        <w:jc w:val="both"/>
        <w:rPr>
          <w:sz w:val="16"/>
          <w:szCs w:val="16"/>
        </w:rPr>
      </w:pPr>
      <w:r w:rsidRPr="001C11EA">
        <w:rPr>
          <w:sz w:val="16"/>
          <w:szCs w:val="16"/>
        </w:rPr>
        <w:t>4–6: Fair – Criterion is partially addressed; some details are unclear or insufficient</w:t>
      </w:r>
    </w:p>
    <w:p w14:paraId="469E0C81" w14:textId="77777777" w:rsidR="00182CC4" w:rsidRPr="001C11EA" w:rsidRDefault="00182CC4" w:rsidP="00182CC4">
      <w:pPr>
        <w:pStyle w:val="ListParagraph"/>
        <w:numPr>
          <w:ilvl w:val="0"/>
          <w:numId w:val="9"/>
        </w:numPr>
        <w:jc w:val="both"/>
        <w:rPr>
          <w:sz w:val="16"/>
          <w:szCs w:val="16"/>
        </w:rPr>
      </w:pPr>
      <w:r w:rsidRPr="001C11EA">
        <w:rPr>
          <w:sz w:val="16"/>
          <w:szCs w:val="16"/>
        </w:rPr>
        <w:t>7–8: Good – Criterion is well-addressed with clear, justified, and relevant information</w:t>
      </w:r>
    </w:p>
    <w:p w14:paraId="38527A85" w14:textId="77777777" w:rsidR="00182CC4" w:rsidRPr="001C11EA" w:rsidRDefault="00182CC4" w:rsidP="00182CC4">
      <w:pPr>
        <w:pStyle w:val="ListParagraph"/>
        <w:numPr>
          <w:ilvl w:val="0"/>
          <w:numId w:val="9"/>
        </w:numPr>
        <w:jc w:val="both"/>
        <w:rPr>
          <w:i/>
          <w:iCs/>
          <w:sz w:val="16"/>
          <w:szCs w:val="16"/>
        </w:rPr>
      </w:pPr>
      <w:r w:rsidRPr="001C11EA">
        <w:rPr>
          <w:sz w:val="16"/>
          <w:szCs w:val="16"/>
        </w:rPr>
        <w:t>9–10: Excellent – Criterion is fully addressed with outstanding quality, clarity, and supporting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CC29" w14:textId="77777777" w:rsidR="003F18F6" w:rsidRDefault="003F1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EC1" w14:textId="40176AA2" w:rsidR="003B4102" w:rsidRDefault="003F18F6" w:rsidP="003F18F6">
    <w:pPr>
      <w:pStyle w:val="Header"/>
      <w:tabs>
        <w:tab w:val="clear" w:pos="9026"/>
        <w:tab w:val="right" w:pos="9356"/>
      </w:tabs>
    </w:pPr>
    <w:r w:rsidRPr="00A81E64">
      <w:rPr>
        <w:noProof/>
      </w:rPr>
      <w:drawing>
        <wp:inline distT="0" distB="0" distL="0" distR="0" wp14:anchorId="681A73C8" wp14:editId="59D89EAA">
          <wp:extent cx="1900147" cy="864000"/>
          <wp:effectExtent l="0" t="0" r="5080" b="0"/>
          <wp:docPr id="8678611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33109" name="Picture 1" descr="A blue and white logo&#10;&#10;Description automatically generated"/>
                  <pic:cNvPicPr/>
                </pic:nvPicPr>
                <pic:blipFill>
                  <a:blip r:embed="rId1"/>
                  <a:stretch>
                    <a:fillRect/>
                  </a:stretch>
                </pic:blipFill>
                <pic:spPr>
                  <a:xfrm>
                    <a:off x="0" y="0"/>
                    <a:ext cx="1900147" cy="864000"/>
                  </a:xfrm>
                  <a:prstGeom prst="rect">
                    <a:avLst/>
                  </a:prstGeom>
                </pic:spPr>
              </pic:pic>
            </a:graphicData>
          </a:graphic>
        </wp:inline>
      </w:drawing>
    </w:r>
    <w:r>
      <w:tab/>
      <w:t xml:space="preserve">                        </w:t>
    </w:r>
    <w:r w:rsidR="00497F70">
      <w:t xml:space="preserve">               </w:t>
    </w:r>
    <w:r w:rsidR="004D33D2">
      <w:t xml:space="preserve">                       </w:t>
    </w:r>
    <w:r w:rsidR="00497F70">
      <w:t xml:space="preserve"> </w:t>
    </w:r>
    <w:r>
      <w:t>MATERIALISE 2025.</w:t>
    </w:r>
    <w:r w:rsidR="00B53373">
      <w:t xml:space="preserve"> </w:t>
    </w:r>
    <w:r w:rsidR="002F0D40">
      <w:rPr>
        <w:b/>
        <w:bCs/>
      </w:rPr>
      <w:t>PROJECT ACCEPTANCE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FA2F" w14:textId="77777777" w:rsidR="003F18F6" w:rsidRDefault="003F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2BA"/>
    <w:multiLevelType w:val="hybridMultilevel"/>
    <w:tmpl w:val="F918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416D"/>
    <w:multiLevelType w:val="hybridMultilevel"/>
    <w:tmpl w:val="7A0A4CAE"/>
    <w:lvl w:ilvl="0" w:tplc="A30A2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048B"/>
    <w:multiLevelType w:val="hybridMultilevel"/>
    <w:tmpl w:val="51467644"/>
    <w:lvl w:ilvl="0" w:tplc="A30A2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529BB"/>
    <w:multiLevelType w:val="hybridMultilevel"/>
    <w:tmpl w:val="4D60BD0E"/>
    <w:lvl w:ilvl="0" w:tplc="0809000F">
      <w:start w:val="1"/>
      <w:numFmt w:val="decimal"/>
      <w:lvlText w:val="%1."/>
      <w:lvlJc w:val="lef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4" w15:restartNumberingAfterBreak="0">
    <w:nsid w:val="17623346"/>
    <w:multiLevelType w:val="hybridMultilevel"/>
    <w:tmpl w:val="7EB6AF96"/>
    <w:lvl w:ilvl="0" w:tplc="AEDA50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22B91"/>
    <w:multiLevelType w:val="hybridMultilevel"/>
    <w:tmpl w:val="342A9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8022D"/>
    <w:multiLevelType w:val="hybridMultilevel"/>
    <w:tmpl w:val="2F2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A042B"/>
    <w:multiLevelType w:val="hybridMultilevel"/>
    <w:tmpl w:val="2A8C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B2904"/>
    <w:multiLevelType w:val="hybridMultilevel"/>
    <w:tmpl w:val="65BA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B3E14"/>
    <w:multiLevelType w:val="hybridMultilevel"/>
    <w:tmpl w:val="A2BC7E5A"/>
    <w:lvl w:ilvl="0" w:tplc="B68828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C402B"/>
    <w:multiLevelType w:val="hybridMultilevel"/>
    <w:tmpl w:val="C298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56714"/>
    <w:multiLevelType w:val="hybridMultilevel"/>
    <w:tmpl w:val="BA0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E323B"/>
    <w:multiLevelType w:val="hybridMultilevel"/>
    <w:tmpl w:val="9F261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82C00"/>
    <w:multiLevelType w:val="hybridMultilevel"/>
    <w:tmpl w:val="7FCA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03EF0"/>
    <w:multiLevelType w:val="hybridMultilevel"/>
    <w:tmpl w:val="818C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C7342"/>
    <w:multiLevelType w:val="hybridMultilevel"/>
    <w:tmpl w:val="D5C4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A13B8"/>
    <w:multiLevelType w:val="hybridMultilevel"/>
    <w:tmpl w:val="599E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504FF"/>
    <w:multiLevelType w:val="hybridMultilevel"/>
    <w:tmpl w:val="9E2447F2"/>
    <w:lvl w:ilvl="0" w:tplc="3190E89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C705A"/>
    <w:multiLevelType w:val="hybridMultilevel"/>
    <w:tmpl w:val="ECF6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838427">
    <w:abstractNumId w:val="11"/>
  </w:num>
  <w:num w:numId="2" w16cid:durableId="289751598">
    <w:abstractNumId w:val="17"/>
  </w:num>
  <w:num w:numId="3" w16cid:durableId="730925480">
    <w:abstractNumId w:val="10"/>
  </w:num>
  <w:num w:numId="4" w16cid:durableId="25254883">
    <w:abstractNumId w:val="13"/>
  </w:num>
  <w:num w:numId="5" w16cid:durableId="1817532721">
    <w:abstractNumId w:val="18"/>
  </w:num>
  <w:num w:numId="6" w16cid:durableId="150028278">
    <w:abstractNumId w:val="2"/>
  </w:num>
  <w:num w:numId="7" w16cid:durableId="1471747857">
    <w:abstractNumId w:val="1"/>
  </w:num>
  <w:num w:numId="8" w16cid:durableId="1329289779">
    <w:abstractNumId w:val="4"/>
  </w:num>
  <w:num w:numId="9" w16cid:durableId="914899881">
    <w:abstractNumId w:val="16"/>
  </w:num>
  <w:num w:numId="10" w16cid:durableId="33848778">
    <w:abstractNumId w:val="15"/>
  </w:num>
  <w:num w:numId="11" w16cid:durableId="558856522">
    <w:abstractNumId w:val="12"/>
  </w:num>
  <w:num w:numId="12" w16cid:durableId="710422017">
    <w:abstractNumId w:val="9"/>
  </w:num>
  <w:num w:numId="13" w16cid:durableId="1896817441">
    <w:abstractNumId w:val="14"/>
  </w:num>
  <w:num w:numId="14" w16cid:durableId="1615364041">
    <w:abstractNumId w:val="5"/>
  </w:num>
  <w:num w:numId="15" w16cid:durableId="1352879543">
    <w:abstractNumId w:val="8"/>
  </w:num>
  <w:num w:numId="16" w16cid:durableId="1713384027">
    <w:abstractNumId w:val="6"/>
  </w:num>
  <w:num w:numId="17" w16cid:durableId="1209609538">
    <w:abstractNumId w:val="0"/>
  </w:num>
  <w:num w:numId="18" w16cid:durableId="838694780">
    <w:abstractNumId w:val="7"/>
  </w:num>
  <w:num w:numId="19" w16cid:durableId="46478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MDAyNzAyA0JzEyUdpeDU4uLM/DyQAkPTWgCyFDHsLQAAAA=="/>
  </w:docVars>
  <w:rsids>
    <w:rsidRoot w:val="001F2886"/>
    <w:rsid w:val="00045901"/>
    <w:rsid w:val="000E033D"/>
    <w:rsid w:val="000E7A2B"/>
    <w:rsid w:val="00165F2C"/>
    <w:rsid w:val="00176B8C"/>
    <w:rsid w:val="00182CC4"/>
    <w:rsid w:val="001B6EF9"/>
    <w:rsid w:val="001B74B9"/>
    <w:rsid w:val="001C11EA"/>
    <w:rsid w:val="001F2886"/>
    <w:rsid w:val="0021592E"/>
    <w:rsid w:val="002828D5"/>
    <w:rsid w:val="002920B4"/>
    <w:rsid w:val="00293890"/>
    <w:rsid w:val="002B0AFB"/>
    <w:rsid w:val="002F0D40"/>
    <w:rsid w:val="00305BC1"/>
    <w:rsid w:val="00351D23"/>
    <w:rsid w:val="00376DED"/>
    <w:rsid w:val="003B4102"/>
    <w:rsid w:val="003F18F6"/>
    <w:rsid w:val="00477C87"/>
    <w:rsid w:val="004853A2"/>
    <w:rsid w:val="00497F70"/>
    <w:rsid w:val="004A2D6D"/>
    <w:rsid w:val="004A3EA0"/>
    <w:rsid w:val="004D33D2"/>
    <w:rsid w:val="0050599D"/>
    <w:rsid w:val="005362E1"/>
    <w:rsid w:val="005A3312"/>
    <w:rsid w:val="005F41F9"/>
    <w:rsid w:val="00606968"/>
    <w:rsid w:val="00641EC6"/>
    <w:rsid w:val="006446A8"/>
    <w:rsid w:val="00647A7E"/>
    <w:rsid w:val="00692702"/>
    <w:rsid w:val="006A0635"/>
    <w:rsid w:val="006A51C8"/>
    <w:rsid w:val="00707269"/>
    <w:rsid w:val="00756789"/>
    <w:rsid w:val="00787016"/>
    <w:rsid w:val="007D2460"/>
    <w:rsid w:val="0084532C"/>
    <w:rsid w:val="00872CEF"/>
    <w:rsid w:val="00875EA1"/>
    <w:rsid w:val="008C6B9F"/>
    <w:rsid w:val="008D2CD7"/>
    <w:rsid w:val="008D3D37"/>
    <w:rsid w:val="008F0DE5"/>
    <w:rsid w:val="009122DA"/>
    <w:rsid w:val="00943BBE"/>
    <w:rsid w:val="00960A73"/>
    <w:rsid w:val="00966E81"/>
    <w:rsid w:val="009A2D26"/>
    <w:rsid w:val="009B5B49"/>
    <w:rsid w:val="009C0F9D"/>
    <w:rsid w:val="009E2520"/>
    <w:rsid w:val="009F05B3"/>
    <w:rsid w:val="009F53FB"/>
    <w:rsid w:val="00A315DE"/>
    <w:rsid w:val="00A32C4A"/>
    <w:rsid w:val="00A56F79"/>
    <w:rsid w:val="00A81E64"/>
    <w:rsid w:val="00A8293B"/>
    <w:rsid w:val="00AA7CAF"/>
    <w:rsid w:val="00AD27F6"/>
    <w:rsid w:val="00AE44BF"/>
    <w:rsid w:val="00B0293F"/>
    <w:rsid w:val="00B0778E"/>
    <w:rsid w:val="00B20323"/>
    <w:rsid w:val="00B21331"/>
    <w:rsid w:val="00B32DC4"/>
    <w:rsid w:val="00B5311F"/>
    <w:rsid w:val="00B53373"/>
    <w:rsid w:val="00B674BD"/>
    <w:rsid w:val="00B9771C"/>
    <w:rsid w:val="00BA03FC"/>
    <w:rsid w:val="00BB6222"/>
    <w:rsid w:val="00BC2070"/>
    <w:rsid w:val="00BF4810"/>
    <w:rsid w:val="00C206CF"/>
    <w:rsid w:val="00C83388"/>
    <w:rsid w:val="00CB70DE"/>
    <w:rsid w:val="00CD1C44"/>
    <w:rsid w:val="00CE3945"/>
    <w:rsid w:val="00CE3E65"/>
    <w:rsid w:val="00D13ADB"/>
    <w:rsid w:val="00D25C80"/>
    <w:rsid w:val="00D529A6"/>
    <w:rsid w:val="00D72234"/>
    <w:rsid w:val="00D81199"/>
    <w:rsid w:val="00DC6EB3"/>
    <w:rsid w:val="00E010AF"/>
    <w:rsid w:val="00E672C4"/>
    <w:rsid w:val="00E82957"/>
    <w:rsid w:val="00EB3728"/>
    <w:rsid w:val="00EC2D4E"/>
    <w:rsid w:val="00F839A5"/>
    <w:rsid w:val="00FC0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DBDFC"/>
  <w15:chartTrackingRefBased/>
  <w15:docId w15:val="{FC42B857-BC1E-4F59-BA55-2ADFE161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40"/>
  </w:style>
  <w:style w:type="paragraph" w:styleId="Heading1">
    <w:name w:val="heading 1"/>
    <w:basedOn w:val="Normal"/>
    <w:next w:val="Normal"/>
    <w:link w:val="Heading1Char"/>
    <w:uiPriority w:val="9"/>
    <w:qFormat/>
    <w:rsid w:val="001F2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886"/>
    <w:rPr>
      <w:rFonts w:eastAsiaTheme="majorEastAsia" w:cstheme="majorBidi"/>
      <w:color w:val="272727" w:themeColor="text1" w:themeTint="D8"/>
    </w:rPr>
  </w:style>
  <w:style w:type="paragraph" w:styleId="Title">
    <w:name w:val="Title"/>
    <w:basedOn w:val="Normal"/>
    <w:next w:val="Normal"/>
    <w:link w:val="TitleChar"/>
    <w:uiPriority w:val="10"/>
    <w:qFormat/>
    <w:rsid w:val="001F2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886"/>
    <w:pPr>
      <w:spacing w:before="160"/>
      <w:jc w:val="center"/>
    </w:pPr>
    <w:rPr>
      <w:i/>
      <w:iCs/>
      <w:color w:val="404040" w:themeColor="text1" w:themeTint="BF"/>
    </w:rPr>
  </w:style>
  <w:style w:type="character" w:customStyle="1" w:styleId="QuoteChar">
    <w:name w:val="Quote Char"/>
    <w:basedOn w:val="DefaultParagraphFont"/>
    <w:link w:val="Quote"/>
    <w:uiPriority w:val="29"/>
    <w:rsid w:val="001F2886"/>
    <w:rPr>
      <w:i/>
      <w:iCs/>
      <w:color w:val="404040" w:themeColor="text1" w:themeTint="BF"/>
    </w:rPr>
  </w:style>
  <w:style w:type="paragraph" w:styleId="ListParagraph">
    <w:name w:val="List Paragraph"/>
    <w:basedOn w:val="Normal"/>
    <w:uiPriority w:val="34"/>
    <w:qFormat/>
    <w:rsid w:val="001F2886"/>
    <w:pPr>
      <w:ind w:left="720"/>
      <w:contextualSpacing/>
    </w:pPr>
  </w:style>
  <w:style w:type="character" w:styleId="IntenseEmphasis">
    <w:name w:val="Intense Emphasis"/>
    <w:basedOn w:val="DefaultParagraphFont"/>
    <w:uiPriority w:val="21"/>
    <w:qFormat/>
    <w:rsid w:val="001F2886"/>
    <w:rPr>
      <w:i/>
      <w:iCs/>
      <w:color w:val="0F4761" w:themeColor="accent1" w:themeShade="BF"/>
    </w:rPr>
  </w:style>
  <w:style w:type="paragraph" w:styleId="IntenseQuote">
    <w:name w:val="Intense Quote"/>
    <w:basedOn w:val="Normal"/>
    <w:next w:val="Normal"/>
    <w:link w:val="IntenseQuoteChar"/>
    <w:uiPriority w:val="30"/>
    <w:qFormat/>
    <w:rsid w:val="001F2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886"/>
    <w:rPr>
      <w:i/>
      <w:iCs/>
      <w:color w:val="0F4761" w:themeColor="accent1" w:themeShade="BF"/>
    </w:rPr>
  </w:style>
  <w:style w:type="character" w:styleId="IntenseReference">
    <w:name w:val="Intense Reference"/>
    <w:basedOn w:val="DefaultParagraphFont"/>
    <w:uiPriority w:val="32"/>
    <w:qFormat/>
    <w:rsid w:val="001F2886"/>
    <w:rPr>
      <w:b/>
      <w:bCs/>
      <w:smallCaps/>
      <w:color w:val="0F4761" w:themeColor="accent1" w:themeShade="BF"/>
      <w:spacing w:val="5"/>
    </w:rPr>
  </w:style>
  <w:style w:type="character" w:styleId="CommentReference">
    <w:name w:val="annotation reference"/>
    <w:basedOn w:val="DefaultParagraphFont"/>
    <w:uiPriority w:val="99"/>
    <w:semiHidden/>
    <w:unhideWhenUsed/>
    <w:rsid w:val="005A3312"/>
    <w:rPr>
      <w:sz w:val="16"/>
      <w:szCs w:val="16"/>
    </w:rPr>
  </w:style>
  <w:style w:type="paragraph" w:styleId="CommentText">
    <w:name w:val="annotation text"/>
    <w:basedOn w:val="Normal"/>
    <w:link w:val="CommentTextChar"/>
    <w:uiPriority w:val="99"/>
    <w:unhideWhenUsed/>
    <w:rsid w:val="005A3312"/>
    <w:pPr>
      <w:spacing w:line="240" w:lineRule="auto"/>
    </w:pPr>
    <w:rPr>
      <w:sz w:val="20"/>
      <w:szCs w:val="20"/>
    </w:rPr>
  </w:style>
  <w:style w:type="character" w:customStyle="1" w:styleId="CommentTextChar">
    <w:name w:val="Comment Text Char"/>
    <w:basedOn w:val="DefaultParagraphFont"/>
    <w:link w:val="CommentText"/>
    <w:uiPriority w:val="99"/>
    <w:rsid w:val="005A3312"/>
    <w:rPr>
      <w:sz w:val="20"/>
      <w:szCs w:val="20"/>
    </w:rPr>
  </w:style>
  <w:style w:type="paragraph" w:styleId="CommentSubject">
    <w:name w:val="annotation subject"/>
    <w:basedOn w:val="CommentText"/>
    <w:next w:val="CommentText"/>
    <w:link w:val="CommentSubjectChar"/>
    <w:uiPriority w:val="99"/>
    <w:semiHidden/>
    <w:unhideWhenUsed/>
    <w:rsid w:val="005A3312"/>
    <w:rPr>
      <w:b/>
      <w:bCs/>
    </w:rPr>
  </w:style>
  <w:style w:type="character" w:customStyle="1" w:styleId="CommentSubjectChar">
    <w:name w:val="Comment Subject Char"/>
    <w:basedOn w:val="CommentTextChar"/>
    <w:link w:val="CommentSubject"/>
    <w:uiPriority w:val="99"/>
    <w:semiHidden/>
    <w:rsid w:val="005A3312"/>
    <w:rPr>
      <w:b/>
      <w:bCs/>
      <w:sz w:val="20"/>
      <w:szCs w:val="20"/>
    </w:rPr>
  </w:style>
  <w:style w:type="table" w:styleId="TableGrid">
    <w:name w:val="Table Grid"/>
    <w:basedOn w:val="TableNormal"/>
    <w:uiPriority w:val="39"/>
    <w:rsid w:val="00AE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1C8"/>
    <w:rPr>
      <w:color w:val="467886" w:themeColor="hyperlink"/>
      <w:u w:val="single"/>
    </w:rPr>
  </w:style>
  <w:style w:type="character" w:styleId="UnresolvedMention">
    <w:name w:val="Unresolved Mention"/>
    <w:basedOn w:val="DefaultParagraphFont"/>
    <w:uiPriority w:val="99"/>
    <w:semiHidden/>
    <w:unhideWhenUsed/>
    <w:rsid w:val="006A51C8"/>
    <w:rPr>
      <w:color w:val="605E5C"/>
      <w:shd w:val="clear" w:color="auto" w:fill="E1DFDD"/>
    </w:rPr>
  </w:style>
  <w:style w:type="character" w:styleId="Strong">
    <w:name w:val="Strong"/>
    <w:basedOn w:val="DefaultParagraphFont"/>
    <w:uiPriority w:val="22"/>
    <w:qFormat/>
    <w:rsid w:val="00B20323"/>
    <w:rPr>
      <w:b/>
      <w:bCs/>
    </w:rPr>
  </w:style>
  <w:style w:type="paragraph" w:styleId="FootnoteText">
    <w:name w:val="footnote text"/>
    <w:basedOn w:val="Normal"/>
    <w:link w:val="FootnoteTextChar"/>
    <w:uiPriority w:val="99"/>
    <w:semiHidden/>
    <w:unhideWhenUsed/>
    <w:rsid w:val="00B20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323"/>
    <w:rPr>
      <w:sz w:val="20"/>
      <w:szCs w:val="20"/>
    </w:rPr>
  </w:style>
  <w:style w:type="character" w:styleId="FootnoteReference">
    <w:name w:val="footnote reference"/>
    <w:basedOn w:val="DefaultParagraphFont"/>
    <w:uiPriority w:val="99"/>
    <w:semiHidden/>
    <w:unhideWhenUsed/>
    <w:rsid w:val="00B20323"/>
    <w:rPr>
      <w:vertAlign w:val="superscript"/>
    </w:rPr>
  </w:style>
  <w:style w:type="paragraph" w:styleId="Header">
    <w:name w:val="header"/>
    <w:basedOn w:val="Normal"/>
    <w:link w:val="HeaderChar"/>
    <w:uiPriority w:val="99"/>
    <w:unhideWhenUsed/>
    <w:rsid w:val="003B4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102"/>
  </w:style>
  <w:style w:type="paragraph" w:styleId="Footer">
    <w:name w:val="footer"/>
    <w:basedOn w:val="Normal"/>
    <w:link w:val="FooterChar"/>
    <w:uiPriority w:val="99"/>
    <w:unhideWhenUsed/>
    <w:rsid w:val="003B4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33524">
      <w:bodyDiv w:val="1"/>
      <w:marLeft w:val="0"/>
      <w:marRight w:val="0"/>
      <w:marTop w:val="0"/>
      <w:marBottom w:val="0"/>
      <w:divBdr>
        <w:top w:val="none" w:sz="0" w:space="0" w:color="auto"/>
        <w:left w:val="none" w:sz="0" w:space="0" w:color="auto"/>
        <w:bottom w:val="none" w:sz="0" w:space="0" w:color="auto"/>
        <w:right w:val="none" w:sz="0" w:space="0" w:color="auto"/>
      </w:divBdr>
    </w:div>
    <w:div w:id="1007636076">
      <w:bodyDiv w:val="1"/>
      <w:marLeft w:val="0"/>
      <w:marRight w:val="0"/>
      <w:marTop w:val="0"/>
      <w:marBottom w:val="0"/>
      <w:divBdr>
        <w:top w:val="none" w:sz="0" w:space="0" w:color="auto"/>
        <w:left w:val="none" w:sz="0" w:space="0" w:color="auto"/>
        <w:bottom w:val="none" w:sz="0" w:space="0" w:color="auto"/>
        <w:right w:val="none" w:sz="0" w:space="0" w:color="auto"/>
      </w:divBdr>
    </w:div>
    <w:div w:id="1480152808">
      <w:bodyDiv w:val="1"/>
      <w:marLeft w:val="0"/>
      <w:marRight w:val="0"/>
      <w:marTop w:val="0"/>
      <w:marBottom w:val="0"/>
      <w:divBdr>
        <w:top w:val="none" w:sz="0" w:space="0" w:color="auto"/>
        <w:left w:val="none" w:sz="0" w:space="0" w:color="auto"/>
        <w:bottom w:val="none" w:sz="0" w:space="0" w:color="auto"/>
        <w:right w:val="none" w:sz="0" w:space="0" w:color="auto"/>
      </w:divBdr>
    </w:div>
    <w:div w:id="1850681627">
      <w:bodyDiv w:val="1"/>
      <w:marLeft w:val="0"/>
      <w:marRight w:val="0"/>
      <w:marTop w:val="0"/>
      <w:marBottom w:val="0"/>
      <w:divBdr>
        <w:top w:val="none" w:sz="0" w:space="0" w:color="auto"/>
        <w:left w:val="none" w:sz="0" w:space="0" w:color="auto"/>
        <w:bottom w:val="none" w:sz="0" w:space="0" w:color="auto"/>
        <w:right w:val="none" w:sz="0" w:space="0" w:color="auto"/>
      </w:divBdr>
    </w:div>
    <w:div w:id="21428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transfer.materials@imde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transfer.materials@imde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chtransfer.materials@imde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Technology_readiness_leve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D2E9-75EB-4C2A-AE79-81A23CA7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1586</Words>
  <Characters>9521</Characters>
  <Application>Microsoft Office Word</Application>
  <DocSecurity>0</DocSecurity>
  <Lines>238</Lines>
  <Paragraphs>130</Paragraphs>
  <ScaleCrop>false</ScaleCrop>
  <HeadingPairs>
    <vt:vector size="2" baseType="variant">
      <vt:variant>
        <vt:lpstr>Title</vt:lpstr>
      </vt:variant>
      <vt:variant>
        <vt:i4>1</vt:i4>
      </vt:variant>
    </vt:vector>
  </HeadingPairs>
  <TitlesOfParts>
    <vt:vector size="1" baseType="lpstr">
      <vt:lpstr/>
    </vt:vector>
  </TitlesOfParts>
  <Company>IMDEA Materiales</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Infante</dc:creator>
  <cp:keywords/>
  <dc:description/>
  <cp:lastModifiedBy>Germán Infante</cp:lastModifiedBy>
  <cp:revision>17</cp:revision>
  <dcterms:created xsi:type="dcterms:W3CDTF">2025-01-02T13:30:00Z</dcterms:created>
  <dcterms:modified xsi:type="dcterms:W3CDTF">2025-02-03T06:38:00Z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20bffb13fedca30838988769e700703c974a3b62bf41989193028d040c3164fc</vt:lpwstr>
  </property>
</Properties>
</file>